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5D" w:rsidRDefault="0010255D" w:rsidP="00996D53">
      <w:pPr>
        <w:jc w:val="center"/>
        <w:rPr>
          <w:b/>
          <w:lang w:val="en-US"/>
        </w:rPr>
      </w:pPr>
    </w:p>
    <w:p w:rsidR="0010255D" w:rsidRDefault="0010255D" w:rsidP="00996D53">
      <w:pPr>
        <w:jc w:val="center"/>
        <w:rPr>
          <w:b/>
          <w:lang w:val="en-US"/>
        </w:rPr>
      </w:pPr>
    </w:p>
    <w:p w:rsidR="0010255D" w:rsidRDefault="0010255D" w:rsidP="00996D53">
      <w:pPr>
        <w:jc w:val="center"/>
        <w:rPr>
          <w:b/>
          <w:lang w:val="en-US"/>
        </w:rPr>
      </w:pPr>
    </w:p>
    <w:p w:rsidR="003D320A" w:rsidRDefault="003D320A" w:rsidP="00430599">
      <w:pPr>
        <w:pBdr>
          <w:top w:val="single" w:sz="4" w:space="1" w:color="auto"/>
          <w:left w:val="single" w:sz="4" w:space="4" w:color="auto"/>
          <w:bottom w:val="single" w:sz="4" w:space="1" w:color="auto"/>
          <w:right w:val="single" w:sz="4" w:space="4" w:color="auto"/>
        </w:pBdr>
        <w:spacing w:line="360" w:lineRule="auto"/>
        <w:jc w:val="center"/>
        <w:rPr>
          <w:b/>
          <w:sz w:val="40"/>
          <w:szCs w:val="40"/>
          <w:lang w:val="en-US"/>
        </w:rPr>
      </w:pPr>
      <w:r w:rsidRPr="003D320A">
        <w:rPr>
          <w:b/>
          <w:sz w:val="40"/>
          <w:szCs w:val="40"/>
          <w:lang w:val="en-US"/>
        </w:rPr>
        <w:t>Stakeholder C</w:t>
      </w:r>
      <w:r w:rsidR="00996D53" w:rsidRPr="003D320A">
        <w:rPr>
          <w:b/>
          <w:sz w:val="40"/>
          <w:szCs w:val="40"/>
          <w:lang w:val="en-US"/>
        </w:rPr>
        <w:t>onsu</w:t>
      </w:r>
      <w:r w:rsidRPr="003D320A">
        <w:rPr>
          <w:b/>
          <w:sz w:val="40"/>
          <w:szCs w:val="40"/>
          <w:lang w:val="en-US"/>
        </w:rPr>
        <w:t xml:space="preserve">ltation on the updating of the </w:t>
      </w:r>
    </w:p>
    <w:p w:rsidR="00996D53" w:rsidRPr="003D320A" w:rsidRDefault="003D320A" w:rsidP="00430599">
      <w:pPr>
        <w:pBdr>
          <w:top w:val="single" w:sz="4" w:space="1" w:color="auto"/>
          <w:left w:val="single" w:sz="4" w:space="4" w:color="auto"/>
          <w:bottom w:val="single" w:sz="4" w:space="1" w:color="auto"/>
          <w:right w:val="single" w:sz="4" w:space="4" w:color="auto"/>
        </w:pBdr>
        <w:spacing w:line="360" w:lineRule="auto"/>
        <w:jc w:val="center"/>
        <w:rPr>
          <w:b/>
          <w:sz w:val="40"/>
          <w:szCs w:val="40"/>
          <w:lang w:val="en-US"/>
        </w:rPr>
      </w:pPr>
      <w:r w:rsidRPr="003D320A">
        <w:rPr>
          <w:b/>
          <w:sz w:val="40"/>
          <w:szCs w:val="40"/>
          <w:lang w:val="en-US"/>
        </w:rPr>
        <w:t>New Industrial S</w:t>
      </w:r>
      <w:r w:rsidR="00996D53" w:rsidRPr="003D320A">
        <w:rPr>
          <w:b/>
          <w:sz w:val="40"/>
          <w:szCs w:val="40"/>
          <w:lang w:val="en-US"/>
        </w:rPr>
        <w:t>trategy</w:t>
      </w:r>
    </w:p>
    <w:p w:rsidR="003D320A" w:rsidRDefault="003D320A" w:rsidP="00430599">
      <w:pPr>
        <w:pBdr>
          <w:top w:val="single" w:sz="4" w:space="1" w:color="auto"/>
          <w:left w:val="single" w:sz="4" w:space="4" w:color="auto"/>
          <w:bottom w:val="single" w:sz="4" w:space="1" w:color="auto"/>
          <w:right w:val="single" w:sz="4" w:space="4" w:color="auto"/>
        </w:pBdr>
        <w:spacing w:line="360" w:lineRule="auto"/>
        <w:jc w:val="center"/>
        <w:rPr>
          <w:b/>
          <w:sz w:val="28"/>
          <w:szCs w:val="28"/>
          <w:lang w:val="en-US"/>
        </w:rPr>
      </w:pPr>
      <w:r>
        <w:rPr>
          <w:b/>
          <w:sz w:val="28"/>
          <w:szCs w:val="28"/>
          <w:lang w:val="en-US"/>
        </w:rPr>
        <w:t xml:space="preserve">22 June 2021  </w:t>
      </w:r>
    </w:p>
    <w:p w:rsidR="00996D53" w:rsidRPr="003D320A" w:rsidRDefault="00834906" w:rsidP="00430599">
      <w:pPr>
        <w:pBdr>
          <w:top w:val="single" w:sz="4" w:space="1" w:color="auto"/>
          <w:left w:val="single" w:sz="4" w:space="4" w:color="auto"/>
          <w:bottom w:val="single" w:sz="4" w:space="1" w:color="auto"/>
          <w:right w:val="single" w:sz="4" w:space="4" w:color="auto"/>
        </w:pBdr>
        <w:spacing w:line="360" w:lineRule="auto"/>
        <w:jc w:val="center"/>
        <w:rPr>
          <w:b/>
          <w:sz w:val="24"/>
          <w:szCs w:val="24"/>
          <w:lang w:val="en-US"/>
        </w:rPr>
      </w:pPr>
      <w:r>
        <w:rPr>
          <w:b/>
          <w:sz w:val="24"/>
          <w:szCs w:val="24"/>
          <w:lang w:val="en-US"/>
        </w:rPr>
        <w:t>16h00 to 18h</w:t>
      </w:r>
      <w:r w:rsidR="00996D53" w:rsidRPr="003D320A">
        <w:rPr>
          <w:b/>
          <w:sz w:val="24"/>
          <w:szCs w:val="24"/>
          <w:lang w:val="en-US"/>
        </w:rPr>
        <w:t>30</w:t>
      </w:r>
      <w:r w:rsidR="0098440D">
        <w:rPr>
          <w:b/>
          <w:sz w:val="24"/>
          <w:szCs w:val="24"/>
          <w:lang w:val="en-US"/>
        </w:rPr>
        <w:t xml:space="preserve"> </w:t>
      </w:r>
    </w:p>
    <w:p w:rsidR="00996D53" w:rsidRPr="00996D53" w:rsidRDefault="00996D53" w:rsidP="00996D53">
      <w:pPr>
        <w:jc w:val="center"/>
        <w:rPr>
          <w:b/>
          <w:lang w:val="en-US"/>
        </w:rPr>
      </w:pPr>
    </w:p>
    <w:p w:rsidR="004D697A" w:rsidRDefault="004D697A" w:rsidP="00996D53">
      <w:pPr>
        <w:jc w:val="both"/>
        <w:rPr>
          <w:lang w:val="en-US"/>
        </w:rPr>
      </w:pPr>
    </w:p>
    <w:p w:rsidR="00996D53" w:rsidRDefault="00996D53" w:rsidP="00996D53">
      <w:pPr>
        <w:jc w:val="both"/>
        <w:rPr>
          <w:lang w:val="en-US"/>
        </w:rPr>
      </w:pPr>
      <w:r w:rsidRPr="00996D53">
        <w:rPr>
          <w:lang w:val="en-US"/>
        </w:rPr>
        <w:t xml:space="preserve">On 5 May 2021, the Commission presented a communication on </w:t>
      </w:r>
      <w:r w:rsidRPr="00996D53">
        <w:rPr>
          <w:i/>
          <w:lang w:val="en-US"/>
        </w:rPr>
        <w:t>"</w:t>
      </w:r>
      <w:r w:rsidRPr="007B1841">
        <w:rPr>
          <w:b/>
          <w:i/>
          <w:lang w:val="en-US"/>
        </w:rPr>
        <w:t>Updating the 2020 Industrial Strategy: towards a stronger Single Market for Europe's recovery</w:t>
      </w:r>
      <w:r w:rsidRPr="00996D53">
        <w:rPr>
          <w:i/>
          <w:lang w:val="en-US"/>
        </w:rPr>
        <w:t>"</w:t>
      </w:r>
      <w:r w:rsidRPr="00996D53">
        <w:rPr>
          <w:lang w:val="en-US"/>
        </w:rPr>
        <w:t>.</w:t>
      </w:r>
      <w:r>
        <w:rPr>
          <w:rStyle w:val="FootnoteReference"/>
        </w:rPr>
        <w:footnoteReference w:id="1"/>
      </w:r>
    </w:p>
    <w:p w:rsidR="00996D53" w:rsidRPr="00996D53" w:rsidRDefault="00996D53" w:rsidP="00996D53">
      <w:pPr>
        <w:jc w:val="both"/>
        <w:rPr>
          <w:lang w:val="en-US"/>
        </w:rPr>
      </w:pPr>
    </w:p>
    <w:p w:rsidR="00996D53" w:rsidRDefault="00996D53" w:rsidP="00996D53">
      <w:pPr>
        <w:jc w:val="both"/>
        <w:rPr>
          <w:lang w:val="en-US"/>
        </w:rPr>
      </w:pPr>
      <w:r w:rsidRPr="00996D53">
        <w:rPr>
          <w:lang w:val="en-US"/>
        </w:rPr>
        <w:t>The updated Strategy reaffirms the priorities set out in the March 2020 Communication</w:t>
      </w:r>
      <w:r>
        <w:rPr>
          <w:rStyle w:val="FootnoteReference"/>
        </w:rPr>
        <w:footnoteReference w:id="2"/>
      </w:r>
      <w:r w:rsidRPr="00996D53">
        <w:rPr>
          <w:lang w:val="en-US"/>
        </w:rPr>
        <w:t>, published the day before the WHO declared COVID-19 a pandemic</w:t>
      </w:r>
      <w:r w:rsidR="0098440D">
        <w:rPr>
          <w:lang w:val="en-US"/>
        </w:rPr>
        <w:t>. A</w:t>
      </w:r>
      <w:r w:rsidRPr="00996D53">
        <w:rPr>
          <w:lang w:val="en-US"/>
        </w:rPr>
        <w:t>t the same time</w:t>
      </w:r>
      <w:r w:rsidR="00666FA8">
        <w:rPr>
          <w:lang w:val="en-US"/>
        </w:rPr>
        <w:t>,</w:t>
      </w:r>
      <w:r w:rsidRPr="00996D53">
        <w:rPr>
          <w:lang w:val="en-US"/>
        </w:rPr>
        <w:t xml:space="preserve"> it aims to respond to the lessons learned from the crisis</w:t>
      </w:r>
      <w:r w:rsidR="0098440D">
        <w:rPr>
          <w:lang w:val="en-US"/>
        </w:rPr>
        <w:t>;</w:t>
      </w:r>
      <w:r w:rsidRPr="00996D53">
        <w:rPr>
          <w:lang w:val="en-US"/>
        </w:rPr>
        <w:t xml:space="preserve"> to boost the recovery and enhance the EU's open strategic autonomy. It proposes new measures to strengthen the resilience of the Single Market, addresses the need to better understand our dependencies in key strategic areas and presents a toolbox to address them. It offers new measures to accelerate the green and digital transitions. </w:t>
      </w:r>
    </w:p>
    <w:p w:rsidR="00996D53" w:rsidRPr="00996D53" w:rsidRDefault="00996D53" w:rsidP="00996D53">
      <w:pPr>
        <w:jc w:val="both"/>
        <w:rPr>
          <w:lang w:val="en-US"/>
        </w:rPr>
      </w:pPr>
    </w:p>
    <w:p w:rsidR="00996D53" w:rsidRDefault="00996D53" w:rsidP="00996D53">
      <w:pPr>
        <w:jc w:val="both"/>
        <w:rPr>
          <w:lang w:val="en-US"/>
        </w:rPr>
      </w:pPr>
      <w:r w:rsidRPr="00996D53">
        <w:rPr>
          <w:lang w:val="en-US"/>
        </w:rPr>
        <w:t xml:space="preserve">Although </w:t>
      </w:r>
      <w:r w:rsidR="0098440D" w:rsidRPr="00996D53">
        <w:rPr>
          <w:lang w:val="en-US"/>
        </w:rPr>
        <w:t>recognizing</w:t>
      </w:r>
      <w:r w:rsidRPr="00996D53">
        <w:rPr>
          <w:lang w:val="en-US"/>
        </w:rPr>
        <w:t xml:space="preserve"> the relevance of the ecosystems, </w:t>
      </w:r>
      <w:r w:rsidR="0098440D">
        <w:rPr>
          <w:lang w:val="en-US"/>
        </w:rPr>
        <w:t xml:space="preserve">there are opportunities within </w:t>
      </w:r>
      <w:r w:rsidRPr="00996D53">
        <w:rPr>
          <w:lang w:val="en-US"/>
        </w:rPr>
        <w:t xml:space="preserve">the communication </w:t>
      </w:r>
      <w:r w:rsidR="0098440D">
        <w:rPr>
          <w:lang w:val="en-US"/>
        </w:rPr>
        <w:t xml:space="preserve"> to</w:t>
      </w:r>
      <w:r w:rsidRPr="00996D53">
        <w:rPr>
          <w:lang w:val="en-US"/>
        </w:rPr>
        <w:t xml:space="preserve"> link the</w:t>
      </w:r>
      <w:r w:rsidR="0098440D">
        <w:rPr>
          <w:lang w:val="en-US"/>
        </w:rPr>
        <w:t>se</w:t>
      </w:r>
      <w:r w:rsidRPr="00996D53">
        <w:rPr>
          <w:lang w:val="en-US"/>
        </w:rPr>
        <w:t xml:space="preserve"> to local and regional authorities</w:t>
      </w:r>
      <w:r w:rsidR="0098440D">
        <w:rPr>
          <w:lang w:val="en-US"/>
        </w:rPr>
        <w:t>,</w:t>
      </w:r>
      <w:r w:rsidRPr="00996D53">
        <w:rPr>
          <w:lang w:val="en-US"/>
        </w:rPr>
        <w:t xml:space="preserve"> which play a crucial role in this context as described in the CoR opinion on </w:t>
      </w:r>
      <w:r w:rsidRPr="00996D53">
        <w:rPr>
          <w:i/>
          <w:lang w:val="en-US"/>
        </w:rPr>
        <w:t>A Place-based Approach</w:t>
      </w:r>
      <w:r>
        <w:rPr>
          <w:rStyle w:val="FootnoteReference"/>
        </w:rPr>
        <w:footnoteReference w:id="3"/>
      </w:r>
      <w:r w:rsidR="0098440D">
        <w:rPr>
          <w:i/>
          <w:lang w:val="en-US"/>
        </w:rPr>
        <w:t>.</w:t>
      </w:r>
      <w:r w:rsidR="0098440D">
        <w:rPr>
          <w:lang w:val="en-US"/>
        </w:rPr>
        <w:t>In this Opinion,</w:t>
      </w:r>
      <w:r w:rsidRPr="00996D53">
        <w:rPr>
          <w:lang w:val="en-US"/>
        </w:rPr>
        <w:t xml:space="preserve"> the CoR highlights the important role of the local and regional level in the Industrial Strategy and their vital role in achieving a place-based approach</w:t>
      </w:r>
      <w:r>
        <w:rPr>
          <w:rStyle w:val="FootnoteReference"/>
        </w:rPr>
        <w:footnoteReference w:id="4"/>
      </w:r>
      <w:r w:rsidRPr="00996D53">
        <w:rPr>
          <w:lang w:val="en-US"/>
        </w:rPr>
        <w:t>.</w:t>
      </w:r>
    </w:p>
    <w:p w:rsidR="00996D53" w:rsidRPr="00996D53" w:rsidRDefault="00996D53" w:rsidP="00996D53">
      <w:pPr>
        <w:jc w:val="both"/>
        <w:rPr>
          <w:lang w:val="en-US"/>
        </w:rPr>
      </w:pPr>
    </w:p>
    <w:p w:rsidR="00996D53" w:rsidRDefault="00996D53" w:rsidP="00996D53">
      <w:pPr>
        <w:jc w:val="both"/>
        <w:rPr>
          <w:lang w:val="en-US"/>
        </w:rPr>
      </w:pPr>
      <w:r w:rsidRPr="00996D53">
        <w:rPr>
          <w:lang w:val="en-US"/>
        </w:rPr>
        <w:t xml:space="preserve">The CoR therefore sees in important role to adopt an opinion on </w:t>
      </w:r>
      <w:r w:rsidRPr="00996D53">
        <w:rPr>
          <w:i/>
          <w:lang w:val="en-US"/>
        </w:rPr>
        <w:t>"</w:t>
      </w:r>
      <w:r w:rsidRPr="004D5838">
        <w:rPr>
          <w:b/>
          <w:i/>
          <w:lang w:val="en-US"/>
        </w:rPr>
        <w:t>Updating the 2020 Industrial Strategy: towards a stronger Single Market for Europe's recovery</w:t>
      </w:r>
      <w:r w:rsidRPr="00996D53">
        <w:rPr>
          <w:i/>
          <w:lang w:val="en-US"/>
        </w:rPr>
        <w:t>"</w:t>
      </w:r>
      <w:r w:rsidRPr="00996D53">
        <w:rPr>
          <w:lang w:val="en-US"/>
        </w:rPr>
        <w:t xml:space="preserve"> on the basis of the new Commission communication, most probably at its plenary session of 1-3 December, with Rapporteur </w:t>
      </w:r>
      <w:r w:rsidRPr="007B1841">
        <w:rPr>
          <w:b/>
          <w:lang w:val="en-US"/>
        </w:rPr>
        <w:t>Jeanette Baljeu</w:t>
      </w:r>
      <w:r w:rsidRPr="00996D53">
        <w:rPr>
          <w:lang w:val="en-US"/>
        </w:rPr>
        <w:t xml:space="preserve"> (NL/RE).</w:t>
      </w:r>
    </w:p>
    <w:p w:rsidR="00996D53" w:rsidRPr="00996D53" w:rsidRDefault="00996D53" w:rsidP="00996D53">
      <w:pPr>
        <w:jc w:val="both"/>
        <w:rPr>
          <w:lang w:val="en-US"/>
        </w:rPr>
      </w:pPr>
    </w:p>
    <w:p w:rsidR="00996D53" w:rsidRDefault="00996D53" w:rsidP="00996D53">
      <w:pPr>
        <w:jc w:val="both"/>
        <w:rPr>
          <w:lang w:val="en-US"/>
        </w:rPr>
      </w:pPr>
      <w:r w:rsidRPr="00996D53">
        <w:rPr>
          <w:lang w:val="en-US"/>
        </w:rPr>
        <w:t xml:space="preserve">In the stakeholder </w:t>
      </w:r>
      <w:r w:rsidR="0010255D" w:rsidRPr="00996D53">
        <w:rPr>
          <w:lang w:val="en-US"/>
        </w:rPr>
        <w:t>meeting,</w:t>
      </w:r>
      <w:r w:rsidRPr="00996D53">
        <w:rPr>
          <w:lang w:val="en-US"/>
        </w:rPr>
        <w:t xml:space="preserve"> Rapporteur </w:t>
      </w:r>
      <w:r w:rsidRPr="004D5838">
        <w:rPr>
          <w:b/>
          <w:lang w:val="en-US"/>
        </w:rPr>
        <w:t>Jeannette Baljeu</w:t>
      </w:r>
      <w:r w:rsidRPr="00996D53">
        <w:rPr>
          <w:lang w:val="en-US"/>
        </w:rPr>
        <w:t xml:space="preserve"> would like to structure her questions around the following key policy areas:</w:t>
      </w:r>
    </w:p>
    <w:p w:rsidR="004D5838" w:rsidRPr="00996D53" w:rsidRDefault="004D5838" w:rsidP="00996D53">
      <w:pPr>
        <w:jc w:val="both"/>
        <w:rPr>
          <w:lang w:val="en-US"/>
        </w:rPr>
      </w:pPr>
    </w:p>
    <w:p w:rsidR="00996D53" w:rsidRDefault="00996D53" w:rsidP="00996D53">
      <w:pPr>
        <w:pStyle w:val="ListParagraph"/>
        <w:numPr>
          <w:ilvl w:val="0"/>
          <w:numId w:val="5"/>
        </w:numPr>
        <w:jc w:val="both"/>
      </w:pPr>
      <w:r>
        <w:t>Strengthening Single Market resilience</w:t>
      </w:r>
    </w:p>
    <w:p w:rsidR="00996D53" w:rsidRDefault="00996D53" w:rsidP="00996D53">
      <w:pPr>
        <w:pStyle w:val="ListParagraph"/>
        <w:numPr>
          <w:ilvl w:val="0"/>
          <w:numId w:val="5"/>
        </w:numPr>
        <w:jc w:val="both"/>
      </w:pPr>
      <w:r>
        <w:t>Dealing with the EU's strategic dependencies</w:t>
      </w:r>
    </w:p>
    <w:p w:rsidR="00996D53" w:rsidRDefault="00996D53" w:rsidP="00996D53">
      <w:pPr>
        <w:pStyle w:val="ListParagraph"/>
        <w:numPr>
          <w:ilvl w:val="0"/>
          <w:numId w:val="5"/>
        </w:numPr>
        <w:jc w:val="both"/>
      </w:pPr>
      <w:r>
        <w:t>Accelerating the twin transitions</w:t>
      </w:r>
    </w:p>
    <w:p w:rsidR="004D5838" w:rsidRDefault="00B574D3" w:rsidP="00F106F7">
      <w:pPr>
        <w:pStyle w:val="ListParagraph"/>
        <w:numPr>
          <w:ilvl w:val="0"/>
          <w:numId w:val="5"/>
        </w:numPr>
        <w:jc w:val="both"/>
      </w:pPr>
      <w:r>
        <w:t>The main indicators of competitiveness</w:t>
      </w:r>
    </w:p>
    <w:p w:rsidR="00996D53" w:rsidRPr="00996D53" w:rsidRDefault="00834137" w:rsidP="00996D53">
      <w:pPr>
        <w:jc w:val="both"/>
        <w:rPr>
          <w:lang w:val="en-US"/>
        </w:rPr>
      </w:pPr>
      <w:r>
        <w:rPr>
          <w:lang w:val="en-US"/>
        </w:rPr>
        <w:t xml:space="preserve">Please refer to the </w:t>
      </w:r>
      <w:r w:rsidRPr="000F6700">
        <w:rPr>
          <w:lang w:val="en-US"/>
        </w:rPr>
        <w:t>working document</w:t>
      </w:r>
      <w:r>
        <w:rPr>
          <w:lang w:val="en-US"/>
        </w:rPr>
        <w:t xml:space="preserve"> for more detailed information. </w:t>
      </w:r>
    </w:p>
    <w:p w:rsidR="00A05642" w:rsidRDefault="00A05642">
      <w:pPr>
        <w:spacing w:after="160" w:line="259" w:lineRule="auto"/>
        <w:rPr>
          <w:b/>
          <w:color w:val="0070C0"/>
          <w:sz w:val="28"/>
          <w:szCs w:val="28"/>
          <w:lang w:val="en-GB"/>
        </w:rPr>
      </w:pPr>
    </w:p>
    <w:p w:rsidR="00F14713" w:rsidRPr="00666FA8" w:rsidRDefault="002C5232" w:rsidP="001C7856">
      <w:pPr>
        <w:jc w:val="center"/>
        <w:rPr>
          <w:b/>
          <w:bCs/>
          <w:sz w:val="36"/>
          <w:szCs w:val="36"/>
          <w:u w:val="single"/>
          <w:lang w:val="en-US"/>
        </w:rPr>
      </w:pPr>
      <w:r w:rsidRPr="00F14713">
        <w:rPr>
          <w:b/>
          <w:color w:val="0070C0"/>
          <w:sz w:val="36"/>
          <w:szCs w:val="36"/>
          <w:u w:val="single"/>
          <w:lang w:val="en-GB"/>
        </w:rPr>
        <w:t>Agenda</w:t>
      </w:r>
    </w:p>
    <w:p w:rsidR="001C7856" w:rsidRPr="00666FA8" w:rsidRDefault="001C7856" w:rsidP="00E4566B">
      <w:pPr>
        <w:rPr>
          <w:lang w:val="en-US"/>
        </w:rPr>
      </w:pPr>
    </w:p>
    <w:p w:rsidR="00F562C6" w:rsidRPr="00B7252D" w:rsidRDefault="00A05642" w:rsidP="00F562C6">
      <w:pPr>
        <w:tabs>
          <w:tab w:val="left" w:pos="1418"/>
        </w:tabs>
        <w:spacing w:before="120" w:line="276" w:lineRule="auto"/>
        <w:ind w:left="1418" w:hanging="1418"/>
        <w:rPr>
          <w:b/>
          <w:color w:val="0070C0"/>
          <w:lang w:val="en-GB"/>
        </w:rPr>
      </w:pPr>
      <w:r w:rsidRPr="00666FA8">
        <w:rPr>
          <w:lang w:val="en-US"/>
        </w:rPr>
        <w:t>16:05-16:10</w:t>
      </w:r>
      <w:r w:rsidR="00F562C6" w:rsidRPr="00B7252D">
        <w:rPr>
          <w:color w:val="808080" w:themeColor="background1" w:themeShade="80"/>
          <w:lang w:val="en-GB"/>
        </w:rPr>
        <w:tab/>
      </w:r>
      <w:r w:rsidR="00F562C6" w:rsidRPr="00447C5A">
        <w:rPr>
          <w:b/>
          <w:color w:val="0070C0"/>
          <w:lang w:val="en-GB"/>
        </w:rPr>
        <w:t xml:space="preserve">Welcome </w:t>
      </w:r>
    </w:p>
    <w:p w:rsidR="00A038E1" w:rsidRPr="00666FA8" w:rsidRDefault="00F562C6" w:rsidP="00A05642">
      <w:pPr>
        <w:tabs>
          <w:tab w:val="left" w:pos="1418"/>
        </w:tabs>
        <w:spacing w:before="120" w:line="276" w:lineRule="auto"/>
        <w:ind w:left="1418" w:hanging="1418"/>
        <w:rPr>
          <w:lang w:val="en-US"/>
        </w:rPr>
      </w:pPr>
      <w:r w:rsidRPr="00B7252D">
        <w:rPr>
          <w:b/>
          <w:lang w:val="en-GB"/>
        </w:rPr>
        <w:t xml:space="preserve">                          </w:t>
      </w:r>
      <w:r>
        <w:rPr>
          <w:b/>
          <w:lang w:val="en-GB"/>
        </w:rPr>
        <w:tab/>
        <w:t xml:space="preserve">Jeannette Baljeu, </w:t>
      </w:r>
      <w:r w:rsidRPr="00F562C6">
        <w:rPr>
          <w:lang w:val="en-GB"/>
        </w:rPr>
        <w:t>Rapporteur of the CoR opinion on</w:t>
      </w:r>
      <w:r w:rsidRPr="00F562C6">
        <w:rPr>
          <w:b/>
          <w:lang w:val="en-GB"/>
        </w:rPr>
        <w:t xml:space="preserve"> "Updating the new Industrial Strategy for Europe"</w:t>
      </w:r>
      <w:r w:rsidR="00E9479E">
        <w:rPr>
          <w:b/>
          <w:lang w:val="en-GB"/>
        </w:rPr>
        <w:t xml:space="preserve">, </w:t>
      </w:r>
      <w:r w:rsidRPr="00666FA8">
        <w:rPr>
          <w:lang w:val="en-US"/>
        </w:rPr>
        <w:t xml:space="preserve">European Committee of the Regions  </w:t>
      </w:r>
    </w:p>
    <w:p w:rsidR="003C3A54" w:rsidRPr="00666FA8" w:rsidRDefault="003C3A54" w:rsidP="00A05642">
      <w:pPr>
        <w:tabs>
          <w:tab w:val="left" w:pos="1418"/>
        </w:tabs>
        <w:spacing w:before="120" w:line="276" w:lineRule="auto"/>
        <w:ind w:left="1418" w:hanging="1418"/>
        <w:rPr>
          <w:color w:val="808080" w:themeColor="background1" w:themeShade="80"/>
          <w:lang w:val="en-US"/>
        </w:rPr>
      </w:pPr>
    </w:p>
    <w:p w:rsidR="008E5E46" w:rsidRPr="00666FA8" w:rsidRDefault="00154A37" w:rsidP="00604020">
      <w:pPr>
        <w:tabs>
          <w:tab w:val="left" w:pos="1418"/>
        </w:tabs>
        <w:spacing w:before="120" w:line="276" w:lineRule="auto"/>
        <w:ind w:left="1418" w:hanging="1418"/>
        <w:rPr>
          <w:lang w:val="en-US"/>
        </w:rPr>
      </w:pPr>
      <w:r w:rsidRPr="00666FA8">
        <w:rPr>
          <w:lang w:val="en-US"/>
        </w:rPr>
        <w:t>16:10-16:20</w:t>
      </w:r>
      <w:r w:rsidR="002C5232" w:rsidRPr="00666FA8">
        <w:rPr>
          <w:color w:val="808080" w:themeColor="background1" w:themeShade="80"/>
          <w:lang w:val="en-US"/>
        </w:rPr>
        <w:tab/>
      </w:r>
      <w:r w:rsidR="002C5232" w:rsidRPr="00666FA8">
        <w:rPr>
          <w:b/>
          <w:color w:val="0070C0"/>
          <w:lang w:val="en-US"/>
        </w:rPr>
        <w:t xml:space="preserve">Presentation of the </w:t>
      </w:r>
      <w:r w:rsidR="001C7856" w:rsidRPr="00447C5A">
        <w:rPr>
          <w:b/>
          <w:color w:val="0070C0"/>
          <w:lang w:val="en-US"/>
        </w:rPr>
        <w:t xml:space="preserve">Commission communication </w:t>
      </w:r>
      <w:r w:rsidR="003D7D11" w:rsidRPr="003D7D11">
        <w:rPr>
          <w:b/>
          <w:lang w:val="en-US"/>
        </w:rPr>
        <w:t>Monica</w:t>
      </w:r>
      <w:r w:rsidR="003D7D11">
        <w:rPr>
          <w:b/>
          <w:lang w:val="en-US"/>
        </w:rPr>
        <w:t xml:space="preserve"> </w:t>
      </w:r>
      <w:r w:rsidR="003D7D11" w:rsidRPr="003D7D11">
        <w:rPr>
          <w:b/>
          <w:lang w:val="en-US"/>
        </w:rPr>
        <w:t>S</w:t>
      </w:r>
      <w:r w:rsidR="003D7D11">
        <w:rPr>
          <w:b/>
          <w:lang w:val="en-US"/>
        </w:rPr>
        <w:t>algado Fernandez</w:t>
      </w:r>
      <w:r w:rsidR="001C7856" w:rsidRPr="00666FA8">
        <w:rPr>
          <w:lang w:val="en-US"/>
        </w:rPr>
        <w:t xml:space="preserve">, </w:t>
      </w:r>
      <w:r w:rsidR="003D7D11">
        <w:rPr>
          <w:lang w:val="en-US"/>
        </w:rPr>
        <w:t xml:space="preserve">Deputy </w:t>
      </w:r>
      <w:r w:rsidR="001C7856" w:rsidRPr="00666FA8">
        <w:rPr>
          <w:lang w:val="en-US"/>
        </w:rPr>
        <w:t>Head of Unit Strategy and regulation: single market and industrial policy, DG GROW</w:t>
      </w:r>
      <w:r w:rsidR="00666FA8">
        <w:rPr>
          <w:lang w:val="en-US"/>
        </w:rPr>
        <w:t xml:space="preserve"> </w:t>
      </w:r>
    </w:p>
    <w:p w:rsidR="003C3A54" w:rsidRPr="00666FA8" w:rsidRDefault="003C3A54" w:rsidP="00604020">
      <w:pPr>
        <w:tabs>
          <w:tab w:val="left" w:pos="1418"/>
        </w:tabs>
        <w:spacing w:before="120" w:line="276" w:lineRule="auto"/>
        <w:ind w:left="1418" w:hanging="1418"/>
        <w:rPr>
          <w:lang w:val="en-US"/>
        </w:rPr>
      </w:pPr>
    </w:p>
    <w:p w:rsidR="001C7856" w:rsidRDefault="00154A37" w:rsidP="00727E2F">
      <w:pPr>
        <w:tabs>
          <w:tab w:val="left" w:pos="1418"/>
        </w:tabs>
        <w:spacing w:line="276" w:lineRule="auto"/>
        <w:ind w:left="1418" w:hanging="1418"/>
        <w:rPr>
          <w:lang w:val="en-GB"/>
        </w:rPr>
      </w:pPr>
      <w:r>
        <w:t>16:20-17:15</w:t>
      </w:r>
      <w:r w:rsidR="008E5E46" w:rsidRPr="00263332">
        <w:rPr>
          <w:color w:val="808080" w:themeColor="background1" w:themeShade="80"/>
        </w:rPr>
        <w:tab/>
      </w:r>
      <w:r w:rsidR="00591CD7">
        <w:rPr>
          <w:b/>
          <w:color w:val="808080" w:themeColor="background1" w:themeShade="80"/>
        </w:rPr>
        <w:t xml:space="preserve">Statements </w:t>
      </w:r>
      <w:r w:rsidR="001C7856" w:rsidRPr="008E5E46">
        <w:rPr>
          <w:b/>
          <w:color w:val="0070C0"/>
          <w:lang w:val="en-GB"/>
        </w:rPr>
        <w:t>by</w:t>
      </w:r>
      <w:r w:rsidR="007026E1" w:rsidRPr="008E5E46">
        <w:rPr>
          <w:b/>
          <w:color w:val="0070C0"/>
          <w:lang w:val="en-GB"/>
        </w:rPr>
        <w:t xml:space="preserve"> targeted</w:t>
      </w:r>
      <w:r w:rsidR="001C7856" w:rsidRPr="008E5E46">
        <w:rPr>
          <w:b/>
          <w:color w:val="0070C0"/>
          <w:lang w:val="en-GB"/>
        </w:rPr>
        <w:t xml:space="preserve"> </w:t>
      </w:r>
      <w:r w:rsidR="0098440D">
        <w:rPr>
          <w:b/>
          <w:color w:val="0070C0"/>
          <w:lang w:val="en-GB"/>
        </w:rPr>
        <w:t>spokespersons</w:t>
      </w:r>
      <w:r w:rsidR="0098440D" w:rsidRPr="008E5E46">
        <w:rPr>
          <w:color w:val="0070C0"/>
          <w:lang w:val="en-GB"/>
        </w:rPr>
        <w:t xml:space="preserve"> </w:t>
      </w:r>
    </w:p>
    <w:p w:rsidR="001C7856" w:rsidRDefault="001C7856" w:rsidP="00E4566B">
      <w:pPr>
        <w:rPr>
          <w:i/>
          <w:iCs/>
          <w:lang w:val="en-GB"/>
        </w:rPr>
      </w:pPr>
    </w:p>
    <w:p w:rsidR="00EE2141" w:rsidRDefault="00EE2141" w:rsidP="00E4566B">
      <w:pPr>
        <w:pStyle w:val="ListParagraph"/>
        <w:numPr>
          <w:ilvl w:val="0"/>
          <w:numId w:val="2"/>
        </w:numPr>
        <w:jc w:val="both"/>
      </w:pPr>
      <w:r w:rsidRPr="00F64153">
        <w:rPr>
          <w:b/>
        </w:rPr>
        <w:t>Carlo Calenda</w:t>
      </w:r>
      <w:r>
        <w:t xml:space="preserve">, </w:t>
      </w:r>
      <w:r w:rsidR="00AD5D2F">
        <w:t xml:space="preserve">member of the European Parliament, </w:t>
      </w:r>
      <w:r>
        <w:t>former EP-rapporteur</w:t>
      </w:r>
      <w:r w:rsidR="002237F3">
        <w:t xml:space="preserve"> </w:t>
      </w:r>
      <w:r w:rsidR="00AD5D2F">
        <w:t xml:space="preserve">on </w:t>
      </w:r>
      <w:r w:rsidR="00AD5D2F" w:rsidRPr="00AD5D2F">
        <w:rPr>
          <w:i/>
        </w:rPr>
        <w:t>A new Industrial Strategy for Europe</w:t>
      </w:r>
    </w:p>
    <w:p w:rsidR="004F258E" w:rsidRDefault="001C7856" w:rsidP="008F2A7E">
      <w:pPr>
        <w:pStyle w:val="ListParagraph"/>
        <w:numPr>
          <w:ilvl w:val="0"/>
          <w:numId w:val="2"/>
        </w:numPr>
        <w:jc w:val="both"/>
      </w:pPr>
      <w:r w:rsidRPr="00F64153">
        <w:rPr>
          <w:b/>
        </w:rPr>
        <w:t>Sandra Parthie</w:t>
      </w:r>
      <w:r>
        <w:t>, Rapporteur of the EESC opinion on "</w:t>
      </w:r>
      <w:r w:rsidRPr="00C07956">
        <w:rPr>
          <w:i/>
        </w:rPr>
        <w:t>Updating the new Industrial Strategy for Europe</w:t>
      </w:r>
      <w:r>
        <w:t>", EESC</w:t>
      </w:r>
      <w:r w:rsidR="002237F3">
        <w:t xml:space="preserve"> </w:t>
      </w:r>
    </w:p>
    <w:p w:rsidR="008F2A7E" w:rsidRDefault="004F258E" w:rsidP="007F55A1">
      <w:pPr>
        <w:pStyle w:val="ListParagraph"/>
        <w:numPr>
          <w:ilvl w:val="0"/>
          <w:numId w:val="2"/>
        </w:numPr>
        <w:jc w:val="both"/>
      </w:pPr>
      <w:r w:rsidRPr="008F2A7E">
        <w:rPr>
          <w:b/>
        </w:rPr>
        <w:t>Alison Hunter</w:t>
      </w:r>
      <w:r>
        <w:t xml:space="preserve">, </w:t>
      </w:r>
      <w:r w:rsidR="00591CD7">
        <w:t xml:space="preserve">Director, </w:t>
      </w:r>
      <w:r>
        <w:t>Economic and Public Policy Consultancy</w:t>
      </w:r>
      <w:r w:rsidR="00030105">
        <w:t xml:space="preserve"> </w:t>
      </w:r>
    </w:p>
    <w:p w:rsidR="004F258E" w:rsidRDefault="00C07956" w:rsidP="00C07956">
      <w:pPr>
        <w:pStyle w:val="ListParagraph"/>
        <w:numPr>
          <w:ilvl w:val="0"/>
          <w:numId w:val="2"/>
        </w:numPr>
        <w:jc w:val="both"/>
      </w:pPr>
      <w:r w:rsidRPr="00C07956">
        <w:rPr>
          <w:b/>
        </w:rPr>
        <w:t xml:space="preserve">Gerhard Huemer, </w:t>
      </w:r>
      <w:r w:rsidRPr="00C07956">
        <w:t>Director Economic and Fiscal Policy</w:t>
      </w:r>
      <w:r w:rsidR="00591CD7">
        <w:t xml:space="preserve">, </w:t>
      </w:r>
      <w:r w:rsidR="001C7856">
        <w:t>SMEunited</w:t>
      </w:r>
      <w:r w:rsidR="00666FA8">
        <w:t xml:space="preserve"> </w:t>
      </w:r>
    </w:p>
    <w:p w:rsidR="001C7856" w:rsidRDefault="001C7856" w:rsidP="001C7856">
      <w:pPr>
        <w:pStyle w:val="ListParagraph"/>
        <w:numPr>
          <w:ilvl w:val="0"/>
          <w:numId w:val="2"/>
        </w:numPr>
        <w:jc w:val="both"/>
      </w:pPr>
      <w:r w:rsidRPr="008A03FD">
        <w:rPr>
          <w:b/>
        </w:rPr>
        <w:t>Isabelle Schömann</w:t>
      </w:r>
      <w:r>
        <w:t>, Confederal Secretary, ETUC</w:t>
      </w:r>
      <w:r w:rsidR="00666FA8">
        <w:t xml:space="preserve"> </w:t>
      </w:r>
    </w:p>
    <w:p w:rsidR="001C7856" w:rsidRDefault="003A59E2" w:rsidP="003A59E2">
      <w:pPr>
        <w:pStyle w:val="ListParagraph"/>
        <w:numPr>
          <w:ilvl w:val="0"/>
          <w:numId w:val="2"/>
        </w:numPr>
        <w:jc w:val="both"/>
      </w:pPr>
      <w:r w:rsidRPr="003A59E2">
        <w:rPr>
          <w:b/>
        </w:rPr>
        <w:t>Philippe Adriaenssens</w:t>
      </w:r>
      <w:r w:rsidRPr="003A59E2">
        <w:t>, Policy Director</w:t>
      </w:r>
      <w:r>
        <w:t xml:space="preserve">, </w:t>
      </w:r>
      <w:r w:rsidRPr="003A59E2">
        <w:t>European Round Table for Industry (ERT)</w:t>
      </w:r>
      <w:r>
        <w:t xml:space="preserve"> </w:t>
      </w:r>
    </w:p>
    <w:p w:rsidR="00A06E96" w:rsidRDefault="0057786A" w:rsidP="006746F9">
      <w:pPr>
        <w:pStyle w:val="ListParagraph"/>
        <w:numPr>
          <w:ilvl w:val="0"/>
          <w:numId w:val="2"/>
        </w:numPr>
        <w:jc w:val="both"/>
      </w:pPr>
      <w:r w:rsidRPr="0057786A">
        <w:rPr>
          <w:b/>
        </w:rPr>
        <w:t>Lina Konstantinopoulou</w:t>
      </w:r>
      <w:r w:rsidR="00EE2141">
        <w:t>,</w:t>
      </w:r>
      <w:r w:rsidR="002237F3">
        <w:t xml:space="preserve"> Policy </w:t>
      </w:r>
      <w:r>
        <w:t>Director</w:t>
      </w:r>
      <w:r w:rsidR="002237F3">
        <w:t>,</w:t>
      </w:r>
      <w:r w:rsidR="00EE2141">
        <w:t xml:space="preserve"> EUROCHAMBRES</w:t>
      </w:r>
      <w:r w:rsidR="00666FA8">
        <w:t xml:space="preserve"> </w:t>
      </w:r>
    </w:p>
    <w:p w:rsidR="001C7856" w:rsidRDefault="001C7856" w:rsidP="00E4566B">
      <w:pPr>
        <w:pStyle w:val="ListParagraph"/>
        <w:numPr>
          <w:ilvl w:val="0"/>
          <w:numId w:val="2"/>
        </w:numPr>
        <w:jc w:val="both"/>
      </w:pPr>
      <w:r w:rsidRPr="00EA304E">
        <w:rPr>
          <w:b/>
        </w:rPr>
        <w:t>Richard Tuffs</w:t>
      </w:r>
      <w:r>
        <w:t xml:space="preserve">, </w:t>
      </w:r>
      <w:r w:rsidR="0010774B">
        <w:t xml:space="preserve">Consultant, </w:t>
      </w:r>
      <w:r>
        <w:t>Friends of Smart Specialisation</w:t>
      </w:r>
    </w:p>
    <w:p w:rsidR="00E07195" w:rsidRDefault="00E07195" w:rsidP="00E07195">
      <w:pPr>
        <w:pStyle w:val="ListParagraph"/>
        <w:numPr>
          <w:ilvl w:val="0"/>
          <w:numId w:val="2"/>
        </w:numPr>
        <w:jc w:val="both"/>
      </w:pPr>
      <w:r w:rsidRPr="00E07195">
        <w:rPr>
          <w:b/>
        </w:rPr>
        <w:t>Cristina</w:t>
      </w:r>
      <w:r w:rsidRPr="00E07195">
        <w:t xml:space="preserve"> </w:t>
      </w:r>
      <w:r w:rsidRPr="00E07195">
        <w:rPr>
          <w:b/>
        </w:rPr>
        <w:t>Oyón,</w:t>
      </w:r>
      <w:r>
        <w:rPr>
          <w:b/>
        </w:rPr>
        <w:t xml:space="preserve"> </w:t>
      </w:r>
      <w:r w:rsidRPr="00E07195">
        <w:t>Director for Technology, Innovation and Sustainability</w:t>
      </w:r>
      <w:r w:rsidR="004851F1">
        <w:t xml:space="preserve"> at the</w:t>
      </w:r>
      <w:r w:rsidRPr="00E07195">
        <w:t xml:space="preserve"> Business Development Agency of the Basque Government</w:t>
      </w:r>
      <w:r>
        <w:t xml:space="preserve"> and Representative of the Vanguard Initiative</w:t>
      </w:r>
    </w:p>
    <w:p w:rsidR="004F258E" w:rsidRPr="00E21A85" w:rsidRDefault="004F258E" w:rsidP="00E07195">
      <w:pPr>
        <w:pStyle w:val="ListParagraph"/>
        <w:numPr>
          <w:ilvl w:val="0"/>
          <w:numId w:val="2"/>
        </w:numPr>
        <w:jc w:val="both"/>
      </w:pPr>
      <w:r w:rsidRPr="00E21A85">
        <w:rPr>
          <w:b/>
          <w:lang w:val="nl-NL"/>
        </w:rPr>
        <w:t>Jurgen Rienks</w:t>
      </w:r>
      <w:r w:rsidRPr="00E21A85">
        <w:rPr>
          <w:lang w:val="nl-NL"/>
        </w:rPr>
        <w:t xml:space="preserve">, </w:t>
      </w:r>
      <w:r w:rsidR="00A06548" w:rsidRPr="00E21A85">
        <w:rPr>
          <w:lang w:val="nl-NL"/>
        </w:rPr>
        <w:t>D</w:t>
      </w:r>
      <w:r w:rsidR="0010774B" w:rsidRPr="00E21A85">
        <w:rPr>
          <w:lang w:val="nl-NL"/>
        </w:rPr>
        <w:t xml:space="preserve">irector, </w:t>
      </w:r>
      <w:r w:rsidRPr="00E21A85">
        <w:rPr>
          <w:lang w:val="nl-NL"/>
        </w:rPr>
        <w:t>Neth-ER</w:t>
      </w:r>
      <w:r w:rsidR="00666FA8" w:rsidRPr="00E21A85">
        <w:rPr>
          <w:lang w:val="nl-NL"/>
        </w:rPr>
        <w:t xml:space="preserve"> </w:t>
      </w:r>
    </w:p>
    <w:p w:rsidR="002237F3" w:rsidRDefault="002237F3" w:rsidP="002D4E51">
      <w:pPr>
        <w:spacing w:after="160" w:line="259" w:lineRule="auto"/>
      </w:pPr>
    </w:p>
    <w:p w:rsidR="001C7856" w:rsidRDefault="003C3A54" w:rsidP="002D4E51">
      <w:pPr>
        <w:spacing w:after="160" w:line="259" w:lineRule="auto"/>
      </w:pPr>
      <w:r>
        <w:t>17:30-17:45</w:t>
      </w:r>
      <w:r w:rsidR="00910EA2">
        <w:rPr>
          <w:color w:val="808080"/>
          <w:lang w:val="en-GB"/>
        </w:rPr>
        <w:tab/>
      </w:r>
      <w:r w:rsidR="001C7856" w:rsidRPr="00910EA2">
        <w:rPr>
          <w:b/>
          <w:color w:val="0070C0"/>
        </w:rPr>
        <w:t>Break</w:t>
      </w:r>
      <w:r w:rsidR="001C7856" w:rsidRPr="00910EA2">
        <w:rPr>
          <w:color w:val="0070C0"/>
        </w:rPr>
        <w:t xml:space="preserve"> </w:t>
      </w:r>
    </w:p>
    <w:p w:rsidR="001C7856" w:rsidRPr="008E5E46" w:rsidRDefault="003C3A54" w:rsidP="008E5E46">
      <w:pPr>
        <w:tabs>
          <w:tab w:val="left" w:pos="1418"/>
        </w:tabs>
        <w:spacing w:line="276" w:lineRule="auto"/>
        <w:ind w:left="1418" w:hanging="1418"/>
        <w:rPr>
          <w:b/>
          <w:color w:val="0070C0"/>
        </w:rPr>
      </w:pPr>
      <w:r>
        <w:t>17:45-18:20</w:t>
      </w:r>
      <w:r w:rsidR="00910EA2">
        <w:rPr>
          <w:color w:val="808080" w:themeColor="background1" w:themeShade="80"/>
        </w:rPr>
        <w:tab/>
      </w:r>
      <w:r w:rsidR="001C7856" w:rsidRPr="00910EA2">
        <w:rPr>
          <w:b/>
          <w:color w:val="0070C0"/>
          <w:lang w:val="en-US"/>
        </w:rPr>
        <w:t>Open discussion</w:t>
      </w:r>
      <w:r w:rsidR="001C7856" w:rsidRPr="008E5E46">
        <w:rPr>
          <w:color w:val="0070C0"/>
          <w:lang w:val="en-US"/>
        </w:rPr>
        <w:t xml:space="preserve"> </w:t>
      </w:r>
    </w:p>
    <w:p w:rsidR="007026E1" w:rsidRPr="007026E1" w:rsidRDefault="007026E1" w:rsidP="001C7856">
      <w:pPr>
        <w:jc w:val="center"/>
        <w:rPr>
          <w:lang w:val="en-US"/>
        </w:rPr>
      </w:pPr>
    </w:p>
    <w:p w:rsidR="00DD7C3B" w:rsidRDefault="003C3A54" w:rsidP="00DD7C3B">
      <w:pPr>
        <w:tabs>
          <w:tab w:val="left" w:pos="1418"/>
        </w:tabs>
        <w:spacing w:line="276" w:lineRule="auto"/>
        <w:ind w:left="1418" w:hanging="1418"/>
        <w:rPr>
          <w:b/>
          <w:color w:val="0070C0"/>
          <w:lang w:val="en-GB"/>
        </w:rPr>
      </w:pPr>
      <w:r w:rsidRPr="00666FA8">
        <w:rPr>
          <w:lang w:val="en-US"/>
        </w:rPr>
        <w:t>18:20-18:30</w:t>
      </w:r>
      <w:r w:rsidR="00910EA2">
        <w:rPr>
          <w:color w:val="808080"/>
          <w:lang w:val="en-GB"/>
        </w:rPr>
        <w:tab/>
      </w:r>
      <w:r w:rsidR="008E5E46" w:rsidRPr="002B76A4">
        <w:rPr>
          <w:b/>
          <w:color w:val="0070C0"/>
          <w:lang w:val="en-GB"/>
        </w:rPr>
        <w:t>Closing remarks</w:t>
      </w:r>
    </w:p>
    <w:p w:rsidR="00A52C1A" w:rsidRDefault="00DD7C3B" w:rsidP="004F22EE">
      <w:pPr>
        <w:tabs>
          <w:tab w:val="left" w:pos="1418"/>
        </w:tabs>
        <w:spacing w:line="276" w:lineRule="auto"/>
        <w:ind w:left="1418" w:hanging="1418"/>
        <w:rPr>
          <w:lang w:val="en-US"/>
        </w:rPr>
      </w:pPr>
      <w:r>
        <w:rPr>
          <w:color w:val="808080"/>
          <w:lang w:val="en-GB"/>
        </w:rPr>
        <w:tab/>
      </w:r>
      <w:r w:rsidR="002237F3">
        <w:rPr>
          <w:b/>
          <w:lang w:val="fr-FR"/>
        </w:rPr>
        <w:t>Jeannette Baljeu, CoR Rapporteur</w:t>
      </w:r>
      <w:r w:rsidR="008E5E46" w:rsidRPr="008E5E46">
        <w:rPr>
          <w:lang w:val="en-US"/>
        </w:rPr>
        <w:t xml:space="preserve"> </w:t>
      </w:r>
    </w:p>
    <w:sectPr w:rsidR="00A52C1A">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C53E" w16cex:dateUtc="2021-06-07T14:18:00Z"/>
  <w16cex:commentExtensible w16cex:durableId="2468BECD" w16cex:dateUtc="2021-06-07T13:50:00Z"/>
  <w16cex:commentExtensible w16cex:durableId="2468C55C" w16cex:dateUtc="2021-06-07T14:18:00Z"/>
  <w16cex:commentExtensible w16cex:durableId="2468C5C2" w16cex:dateUtc="2021-06-07T14:20:00Z"/>
  <w16cex:commentExtensible w16cex:durableId="2468C5CC" w16cex:dateUtc="2021-06-0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DC781" w16cid:durableId="2468BDAD"/>
  <w16cid:commentId w16cid:paraId="4D3B864A" w16cid:durableId="2468BDAE"/>
  <w16cid:commentId w16cid:paraId="72EFE9CD" w16cid:durableId="2468C53E"/>
  <w16cid:commentId w16cid:paraId="7F9BAA68" w16cid:durableId="2468BDAF"/>
  <w16cid:commentId w16cid:paraId="59BA5ACB" w16cid:durableId="2468BECD"/>
  <w16cid:commentId w16cid:paraId="11E55CB5" w16cid:durableId="2468BDB0"/>
  <w16cid:commentId w16cid:paraId="70B8CF8D" w16cid:durableId="2468C55C"/>
  <w16cid:commentId w16cid:paraId="27224839" w16cid:durableId="2468BDB1"/>
  <w16cid:commentId w16cid:paraId="69397C96" w16cid:durableId="2468BDB2"/>
  <w16cid:commentId w16cid:paraId="418D12D1" w16cid:durableId="2468C5C2"/>
  <w16cid:commentId w16cid:paraId="5D6D6413" w16cid:durableId="2468BDB3"/>
  <w16cid:commentId w16cid:paraId="4D497B6E" w16cid:durableId="2468C5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0C" w:rsidRDefault="008D370C" w:rsidP="00907FEA">
      <w:pPr>
        <w:spacing w:line="240" w:lineRule="auto"/>
      </w:pPr>
      <w:r>
        <w:separator/>
      </w:r>
    </w:p>
  </w:endnote>
  <w:endnote w:type="continuationSeparator" w:id="0">
    <w:p w:rsidR="008D370C" w:rsidRDefault="008D370C"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572360"/>
      <w:docPartObj>
        <w:docPartGallery w:val="Page Numbers (Bottom of Page)"/>
        <w:docPartUnique/>
      </w:docPartObj>
    </w:sdtPr>
    <w:sdtEndPr>
      <w:rPr>
        <w:noProof/>
      </w:rPr>
    </w:sdtEndPr>
    <w:sdtContent>
      <w:p w:rsidR="00700182" w:rsidRDefault="00700182">
        <w:pPr>
          <w:pStyle w:val="Footer"/>
          <w:jc w:val="right"/>
        </w:pPr>
        <w:r>
          <w:fldChar w:fldCharType="begin"/>
        </w:r>
        <w:r>
          <w:instrText xml:space="preserve"> PAGE   \* MERGEFORMAT </w:instrText>
        </w:r>
        <w:r>
          <w:fldChar w:fldCharType="separate"/>
        </w:r>
        <w:r w:rsidR="00914804">
          <w:rPr>
            <w:noProof/>
          </w:rPr>
          <w:t>2</w:t>
        </w:r>
        <w:r>
          <w:rPr>
            <w:noProof/>
          </w:rPr>
          <w:fldChar w:fldCharType="end"/>
        </w:r>
      </w:p>
    </w:sdtContent>
  </w:sdt>
  <w:p w:rsidR="00700182" w:rsidRDefault="0070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0C" w:rsidRDefault="008D370C" w:rsidP="00907FEA">
      <w:pPr>
        <w:spacing w:line="240" w:lineRule="auto"/>
      </w:pPr>
      <w:r>
        <w:separator/>
      </w:r>
    </w:p>
  </w:footnote>
  <w:footnote w:type="continuationSeparator" w:id="0">
    <w:p w:rsidR="008D370C" w:rsidRDefault="008D370C" w:rsidP="00907FEA">
      <w:pPr>
        <w:spacing w:line="240" w:lineRule="auto"/>
      </w:pPr>
      <w:r>
        <w:continuationSeparator/>
      </w:r>
    </w:p>
  </w:footnote>
  <w:footnote w:id="1">
    <w:p w:rsidR="00996D53" w:rsidRPr="00CB0411" w:rsidRDefault="00996D53" w:rsidP="00996D53">
      <w:pPr>
        <w:pStyle w:val="FootnoteText"/>
        <w:rPr>
          <w:lang w:val="de-DE"/>
        </w:rPr>
      </w:pPr>
      <w:r>
        <w:rPr>
          <w:rStyle w:val="FootnoteReference"/>
        </w:rPr>
        <w:footnoteRef/>
      </w:r>
      <w:r>
        <w:t xml:space="preserve"> </w:t>
      </w:r>
      <w:r w:rsidRPr="00CB0411">
        <w:t>https://ec.europa.eu/info/sites/default/files/communication-industrial-strategy-update-2020_en.pdf</w:t>
      </w:r>
    </w:p>
  </w:footnote>
  <w:footnote w:id="2">
    <w:p w:rsidR="00996D53" w:rsidRPr="00CB0411" w:rsidRDefault="00996D53" w:rsidP="00996D53">
      <w:pPr>
        <w:pStyle w:val="FootnoteText"/>
        <w:rPr>
          <w:lang w:val="de-DE"/>
        </w:rPr>
      </w:pPr>
      <w:r>
        <w:rPr>
          <w:rStyle w:val="FootnoteReference"/>
        </w:rPr>
        <w:footnoteRef/>
      </w:r>
      <w:r>
        <w:t xml:space="preserve"> A new Industrial Strategy for Europe </w:t>
      </w:r>
      <w:hyperlink r:id="rId1" w:history="1">
        <w:r w:rsidRPr="00311855">
          <w:rPr>
            <w:rStyle w:val="Hyperlink"/>
          </w:rPr>
          <w:t>https://eur-lex.europa.eu/legal-content/EN/TXT/?qid=1593086905382&amp;uri=CELEX:52020DC0102</w:t>
        </w:r>
      </w:hyperlink>
      <w:r>
        <w:t xml:space="preserve"> </w:t>
      </w:r>
    </w:p>
  </w:footnote>
  <w:footnote w:id="3">
    <w:p w:rsidR="00996D53" w:rsidRPr="00CB0411" w:rsidRDefault="00996D53" w:rsidP="00996D53">
      <w:pPr>
        <w:pStyle w:val="FootnoteText"/>
        <w:rPr>
          <w:lang w:val="de-DE"/>
        </w:rPr>
      </w:pPr>
      <w:r>
        <w:rPr>
          <w:rStyle w:val="FootnoteReference"/>
        </w:rPr>
        <w:footnoteRef/>
      </w:r>
      <w:r w:rsidRPr="00161212">
        <w:rPr>
          <w:lang w:val="fr-FR"/>
        </w:rPr>
        <w:t xml:space="preserve"> adopted on 26-27 June 2019, rapporteur: Jeanette Baljeu (NL/RE)</w:t>
      </w:r>
    </w:p>
  </w:footnote>
  <w:footnote w:id="4">
    <w:p w:rsidR="00996D53" w:rsidRPr="00CB0411" w:rsidRDefault="00996D53" w:rsidP="00996D53">
      <w:pPr>
        <w:pStyle w:val="FootnoteText"/>
        <w:rPr>
          <w:lang w:val="de-DE"/>
        </w:rPr>
      </w:pPr>
      <w:r>
        <w:rPr>
          <w:rStyle w:val="FootnoteReference"/>
        </w:rPr>
        <w:footnoteRef/>
      </w:r>
      <w:r w:rsidRPr="00161212">
        <w:rPr>
          <w:lang w:val="fr-FR"/>
        </w:rPr>
        <w:t xml:space="preserve"> adopted on 12-14 October 2020, rapporteur: Jeannette Baljeu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9E" w:rsidRDefault="00471C9E">
    <w:pPr>
      <w:pStyle w:val="Header"/>
    </w:pPr>
    <w:r>
      <w:rPr>
        <w:noProof/>
        <w:lang w:val="en-GB" w:eastAsia="en-GB"/>
      </w:rPr>
      <w:drawing>
        <wp:inline distT="0" distB="0" distL="0" distR="0" wp14:anchorId="48492A32" wp14:editId="39E4AA30">
          <wp:extent cx="179832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554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7F11"/>
    <w:multiLevelType w:val="hybridMultilevel"/>
    <w:tmpl w:val="1E18F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4531A"/>
    <w:multiLevelType w:val="hybridMultilevel"/>
    <w:tmpl w:val="5434E5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B0C38B7"/>
    <w:multiLevelType w:val="hybridMultilevel"/>
    <w:tmpl w:val="88A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A712D"/>
    <w:multiLevelType w:val="hybridMultilevel"/>
    <w:tmpl w:val="753E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411BD"/>
    <w:multiLevelType w:val="hybridMultilevel"/>
    <w:tmpl w:val="8C26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36E3D"/>
    <w:multiLevelType w:val="hybridMultilevel"/>
    <w:tmpl w:val="33E2B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D76442"/>
    <w:multiLevelType w:val="hybridMultilevel"/>
    <w:tmpl w:val="058C2AAA"/>
    <w:lvl w:ilvl="0" w:tplc="04130001">
      <w:start w:val="1"/>
      <w:numFmt w:val="bullet"/>
      <w:lvlText w:val=""/>
      <w:lvlJc w:val="left"/>
      <w:pPr>
        <w:ind w:left="72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F240F"/>
    <w:multiLevelType w:val="hybridMultilevel"/>
    <w:tmpl w:val="BB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56"/>
    <w:rsid w:val="00030105"/>
    <w:rsid w:val="00030B75"/>
    <w:rsid w:val="000519FC"/>
    <w:rsid w:val="000C0A65"/>
    <w:rsid w:val="000C23B0"/>
    <w:rsid w:val="000D6EC9"/>
    <w:rsid w:val="000D7DF5"/>
    <w:rsid w:val="000E7297"/>
    <w:rsid w:val="000F6700"/>
    <w:rsid w:val="0010255D"/>
    <w:rsid w:val="00104409"/>
    <w:rsid w:val="0010774B"/>
    <w:rsid w:val="00133268"/>
    <w:rsid w:val="001366B9"/>
    <w:rsid w:val="00154A37"/>
    <w:rsid w:val="00171961"/>
    <w:rsid w:val="001B687C"/>
    <w:rsid w:val="001C3EC2"/>
    <w:rsid w:val="001C7856"/>
    <w:rsid w:val="002237F3"/>
    <w:rsid w:val="00260DE1"/>
    <w:rsid w:val="002C5232"/>
    <w:rsid w:val="002D4E51"/>
    <w:rsid w:val="0030699E"/>
    <w:rsid w:val="003214FC"/>
    <w:rsid w:val="00342323"/>
    <w:rsid w:val="003A59E2"/>
    <w:rsid w:val="003C3A54"/>
    <w:rsid w:val="003D320A"/>
    <w:rsid w:val="003D5F0D"/>
    <w:rsid w:val="003D7D11"/>
    <w:rsid w:val="003F20F0"/>
    <w:rsid w:val="003F6981"/>
    <w:rsid w:val="00405C34"/>
    <w:rsid w:val="00430599"/>
    <w:rsid w:val="00430B8A"/>
    <w:rsid w:val="00447C5A"/>
    <w:rsid w:val="00471C9E"/>
    <w:rsid w:val="004851F1"/>
    <w:rsid w:val="00495B0E"/>
    <w:rsid w:val="004B464F"/>
    <w:rsid w:val="004B7FF3"/>
    <w:rsid w:val="004D49A0"/>
    <w:rsid w:val="004D5838"/>
    <w:rsid w:val="004D697A"/>
    <w:rsid w:val="004F22EE"/>
    <w:rsid w:val="004F258E"/>
    <w:rsid w:val="004F6985"/>
    <w:rsid w:val="00544DB5"/>
    <w:rsid w:val="0057786A"/>
    <w:rsid w:val="00591CD7"/>
    <w:rsid w:val="005C02B8"/>
    <w:rsid w:val="005D0A84"/>
    <w:rsid w:val="005D649B"/>
    <w:rsid w:val="00604020"/>
    <w:rsid w:val="00611728"/>
    <w:rsid w:val="00634CBB"/>
    <w:rsid w:val="00666FA8"/>
    <w:rsid w:val="006D727A"/>
    <w:rsid w:val="00700182"/>
    <w:rsid w:val="007026E1"/>
    <w:rsid w:val="00721828"/>
    <w:rsid w:val="00727E2F"/>
    <w:rsid w:val="0074687B"/>
    <w:rsid w:val="007575B8"/>
    <w:rsid w:val="00796DDA"/>
    <w:rsid w:val="007B1841"/>
    <w:rsid w:val="00834137"/>
    <w:rsid w:val="00834906"/>
    <w:rsid w:val="00841E25"/>
    <w:rsid w:val="0085311D"/>
    <w:rsid w:val="00860FC2"/>
    <w:rsid w:val="008A03FD"/>
    <w:rsid w:val="008B30B7"/>
    <w:rsid w:val="008C3DB4"/>
    <w:rsid w:val="008D370C"/>
    <w:rsid w:val="008E5E46"/>
    <w:rsid w:val="008F2A7E"/>
    <w:rsid w:val="00907FEA"/>
    <w:rsid w:val="00910EA2"/>
    <w:rsid w:val="009136C0"/>
    <w:rsid w:val="00914804"/>
    <w:rsid w:val="00983781"/>
    <w:rsid w:val="0098440D"/>
    <w:rsid w:val="00994140"/>
    <w:rsid w:val="00996D53"/>
    <w:rsid w:val="009A1C9A"/>
    <w:rsid w:val="00A038E1"/>
    <w:rsid w:val="00A05642"/>
    <w:rsid w:val="00A06548"/>
    <w:rsid w:val="00A06E96"/>
    <w:rsid w:val="00A3023C"/>
    <w:rsid w:val="00A52C1A"/>
    <w:rsid w:val="00A71C1A"/>
    <w:rsid w:val="00A8134A"/>
    <w:rsid w:val="00A93B8C"/>
    <w:rsid w:val="00AA57F4"/>
    <w:rsid w:val="00AD5D2F"/>
    <w:rsid w:val="00AF2566"/>
    <w:rsid w:val="00AF6CCC"/>
    <w:rsid w:val="00B02ABD"/>
    <w:rsid w:val="00B113C0"/>
    <w:rsid w:val="00B574D3"/>
    <w:rsid w:val="00BA423A"/>
    <w:rsid w:val="00BB5924"/>
    <w:rsid w:val="00BC317F"/>
    <w:rsid w:val="00BE3F9C"/>
    <w:rsid w:val="00BF186D"/>
    <w:rsid w:val="00C07956"/>
    <w:rsid w:val="00C33D1F"/>
    <w:rsid w:val="00C36178"/>
    <w:rsid w:val="00D00C79"/>
    <w:rsid w:val="00D15CBA"/>
    <w:rsid w:val="00D20FE4"/>
    <w:rsid w:val="00D55313"/>
    <w:rsid w:val="00D82607"/>
    <w:rsid w:val="00D84D11"/>
    <w:rsid w:val="00DD2A9C"/>
    <w:rsid w:val="00DD7C3B"/>
    <w:rsid w:val="00E0565A"/>
    <w:rsid w:val="00E07195"/>
    <w:rsid w:val="00E15655"/>
    <w:rsid w:val="00E21A85"/>
    <w:rsid w:val="00E30388"/>
    <w:rsid w:val="00E40ADF"/>
    <w:rsid w:val="00E4566B"/>
    <w:rsid w:val="00E6403B"/>
    <w:rsid w:val="00E9479E"/>
    <w:rsid w:val="00EA304E"/>
    <w:rsid w:val="00EE2141"/>
    <w:rsid w:val="00F025C8"/>
    <w:rsid w:val="00F10FE3"/>
    <w:rsid w:val="00F14713"/>
    <w:rsid w:val="00F31F55"/>
    <w:rsid w:val="00F420A3"/>
    <w:rsid w:val="00F562C6"/>
    <w:rsid w:val="00F64153"/>
    <w:rsid w:val="00F64401"/>
    <w:rsid w:val="00F700E8"/>
    <w:rsid w:val="00F85FA4"/>
    <w:rsid w:val="00F90BBA"/>
    <w:rsid w:val="00FA3C29"/>
    <w:rsid w:val="00FB1871"/>
    <w:rsid w:val="00FB5130"/>
    <w:rsid w:val="00FC5E3B"/>
    <w:rsid w:val="00FD296B"/>
    <w:rsid w:val="00FE4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05E1"/>
  <w15:chartTrackingRefBased/>
  <w15:docId w15:val="{2CE5D647-CCD6-4483-9D1D-8417FC4E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07"/>
    <w:pPr>
      <w:spacing w:after="0" w:line="284" w:lineRule="atLeast"/>
    </w:pPr>
    <w:rPr>
      <w:rFonts w:ascii="Calibri" w:hAnsi="Calibri" w:cs="Arial"/>
    </w:rPr>
  </w:style>
  <w:style w:type="paragraph" w:styleId="Heading1">
    <w:name w:val="heading 1"/>
    <w:basedOn w:val="Normal"/>
    <w:next w:val="Normal"/>
    <w:link w:val="Heading1Char"/>
    <w:uiPriority w:val="9"/>
    <w:qFormat/>
    <w:rsid w:val="009A1C9A"/>
    <w:pPr>
      <w:keepNext/>
      <w:keepLines/>
      <w:spacing w:before="240"/>
      <w:outlineLvl w:val="0"/>
    </w:pPr>
    <w:rPr>
      <w:rFonts w:eastAsiaTheme="majorEastAsia" w:cstheme="majorBidi"/>
      <w:color w:val="281F6B"/>
      <w:sz w:val="32"/>
      <w:szCs w:val="32"/>
    </w:rPr>
  </w:style>
  <w:style w:type="paragraph" w:styleId="Heading2">
    <w:name w:val="heading 2"/>
    <w:basedOn w:val="Normal"/>
    <w:next w:val="Normal"/>
    <w:link w:val="Heading2Char"/>
    <w:uiPriority w:val="9"/>
    <w:unhideWhenUsed/>
    <w:qFormat/>
    <w:rsid w:val="009A1C9A"/>
    <w:pPr>
      <w:keepNext/>
      <w:keepLines/>
      <w:spacing w:before="40"/>
      <w:outlineLvl w:val="1"/>
    </w:pPr>
    <w:rPr>
      <w:rFonts w:eastAsiaTheme="majorEastAsia" w:cstheme="majorBidi"/>
      <w:color w:val="281F6B"/>
      <w:sz w:val="26"/>
      <w:szCs w:val="26"/>
    </w:rPr>
  </w:style>
  <w:style w:type="paragraph" w:styleId="Heading3">
    <w:name w:val="heading 3"/>
    <w:basedOn w:val="Normal"/>
    <w:next w:val="Normal"/>
    <w:link w:val="Heading3Char"/>
    <w:uiPriority w:val="9"/>
    <w:unhideWhenUsed/>
    <w:qFormat/>
    <w:rsid w:val="009A1C9A"/>
    <w:pPr>
      <w:keepNext/>
      <w:keepLines/>
      <w:spacing w:before="40"/>
      <w:outlineLvl w:val="2"/>
    </w:pPr>
    <w:rPr>
      <w:rFonts w:eastAsiaTheme="majorEastAsia" w:cstheme="majorBidi"/>
      <w:color w:val="281F6B"/>
      <w:sz w:val="24"/>
      <w:szCs w:val="24"/>
    </w:rPr>
  </w:style>
  <w:style w:type="paragraph" w:styleId="Heading4">
    <w:name w:val="heading 4"/>
    <w:basedOn w:val="Normal"/>
    <w:next w:val="Normal"/>
    <w:link w:val="Heading4Char"/>
    <w:uiPriority w:val="9"/>
    <w:semiHidden/>
    <w:unhideWhenUsed/>
    <w:rsid w:val="009A1C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C9A"/>
    <w:rPr>
      <w:rFonts w:ascii="Calibri" w:eastAsiaTheme="majorEastAsia" w:hAnsi="Calibri" w:cstheme="majorBidi"/>
      <w:color w:val="281F6B"/>
      <w:sz w:val="32"/>
      <w:szCs w:val="32"/>
    </w:rPr>
  </w:style>
  <w:style w:type="character" w:customStyle="1" w:styleId="Heading2Char">
    <w:name w:val="Heading 2 Char"/>
    <w:basedOn w:val="DefaultParagraphFont"/>
    <w:link w:val="Heading2"/>
    <w:uiPriority w:val="9"/>
    <w:rsid w:val="009A1C9A"/>
    <w:rPr>
      <w:rFonts w:ascii="Calibri" w:eastAsiaTheme="majorEastAsia" w:hAnsi="Calibri" w:cstheme="majorBidi"/>
      <w:color w:val="281F6B"/>
      <w:sz w:val="26"/>
      <w:szCs w:val="26"/>
    </w:rPr>
  </w:style>
  <w:style w:type="character" w:customStyle="1" w:styleId="Heading3Char">
    <w:name w:val="Heading 3 Char"/>
    <w:basedOn w:val="DefaultParagraphFont"/>
    <w:link w:val="Heading3"/>
    <w:uiPriority w:val="9"/>
    <w:rsid w:val="009A1C9A"/>
    <w:rPr>
      <w:rFonts w:ascii="Calibri" w:eastAsiaTheme="majorEastAsia" w:hAnsi="Calibri" w:cstheme="majorBidi"/>
      <w:color w:val="281F6B"/>
      <w:sz w:val="24"/>
      <w:szCs w:val="24"/>
    </w:rPr>
  </w:style>
  <w:style w:type="character" w:customStyle="1" w:styleId="Heading4Char">
    <w:name w:val="Heading 4 Char"/>
    <w:basedOn w:val="DefaultParagraphFont"/>
    <w:link w:val="Heading4"/>
    <w:uiPriority w:val="9"/>
    <w:semiHidden/>
    <w:rsid w:val="009A1C9A"/>
    <w:rPr>
      <w:rFonts w:asciiTheme="majorHAnsi" w:eastAsiaTheme="majorEastAsia" w:hAnsiTheme="majorHAnsi" w:cstheme="majorBidi"/>
      <w:i/>
      <w:iCs/>
      <w:color w:val="2F5496" w:themeColor="accent1" w:themeShade="BF"/>
      <w:sz w:val="19"/>
    </w:rPr>
  </w:style>
  <w:style w:type="paragraph" w:styleId="ListParagraph">
    <w:name w:val="List Paragraph"/>
    <w:basedOn w:val="Normal"/>
    <w:uiPriority w:val="34"/>
    <w:qFormat/>
    <w:rsid w:val="001C7856"/>
    <w:pPr>
      <w:spacing w:after="160" w:line="259" w:lineRule="auto"/>
      <w:ind w:left="720"/>
      <w:contextualSpacing/>
    </w:pPr>
    <w:rPr>
      <w:rFonts w:asciiTheme="minorHAnsi" w:hAnsiTheme="minorHAnsi" w:cstheme="minorBidi"/>
      <w:lang w:val="en-GB"/>
    </w:rPr>
  </w:style>
  <w:style w:type="table" w:styleId="TableGrid">
    <w:name w:val="Table Grid"/>
    <w:basedOn w:val="TableNormal"/>
    <w:uiPriority w:val="39"/>
    <w:rsid w:val="0070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6D53"/>
    <w:pPr>
      <w:spacing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6D53"/>
    <w:rPr>
      <w:sz w:val="20"/>
      <w:szCs w:val="20"/>
      <w:lang w:val="en-GB"/>
    </w:rPr>
  </w:style>
  <w:style w:type="character" w:styleId="FootnoteReference">
    <w:name w:val="footnote reference"/>
    <w:basedOn w:val="DefaultParagraphFont"/>
    <w:uiPriority w:val="99"/>
    <w:semiHidden/>
    <w:unhideWhenUsed/>
    <w:rsid w:val="00996D53"/>
    <w:rPr>
      <w:vertAlign w:val="superscript"/>
    </w:rPr>
  </w:style>
  <w:style w:type="character" w:styleId="Hyperlink">
    <w:name w:val="Hyperlink"/>
    <w:basedOn w:val="DefaultParagraphFont"/>
    <w:uiPriority w:val="99"/>
    <w:unhideWhenUsed/>
    <w:rsid w:val="00996D53"/>
    <w:rPr>
      <w:color w:val="0563C1" w:themeColor="hyperlink"/>
      <w:u w:val="single"/>
    </w:rPr>
  </w:style>
  <w:style w:type="character" w:styleId="CommentReference">
    <w:name w:val="annotation reference"/>
    <w:basedOn w:val="DefaultParagraphFont"/>
    <w:uiPriority w:val="99"/>
    <w:semiHidden/>
    <w:unhideWhenUsed/>
    <w:rsid w:val="00544DB5"/>
    <w:rPr>
      <w:sz w:val="16"/>
      <w:szCs w:val="16"/>
    </w:rPr>
  </w:style>
  <w:style w:type="paragraph" w:styleId="CommentText">
    <w:name w:val="annotation text"/>
    <w:basedOn w:val="Normal"/>
    <w:link w:val="CommentTextChar"/>
    <w:uiPriority w:val="99"/>
    <w:unhideWhenUsed/>
    <w:rsid w:val="00544DB5"/>
    <w:pPr>
      <w:spacing w:line="240" w:lineRule="auto"/>
    </w:pPr>
    <w:rPr>
      <w:sz w:val="20"/>
      <w:szCs w:val="20"/>
    </w:rPr>
  </w:style>
  <w:style w:type="character" w:customStyle="1" w:styleId="CommentTextChar">
    <w:name w:val="Comment Text Char"/>
    <w:basedOn w:val="DefaultParagraphFont"/>
    <w:link w:val="CommentText"/>
    <w:uiPriority w:val="99"/>
    <w:rsid w:val="00544DB5"/>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544DB5"/>
    <w:rPr>
      <w:b/>
      <w:bCs/>
    </w:rPr>
  </w:style>
  <w:style w:type="character" w:customStyle="1" w:styleId="CommentSubjectChar">
    <w:name w:val="Comment Subject Char"/>
    <w:basedOn w:val="CommentTextChar"/>
    <w:link w:val="CommentSubject"/>
    <w:uiPriority w:val="99"/>
    <w:semiHidden/>
    <w:rsid w:val="00544DB5"/>
    <w:rPr>
      <w:rFonts w:ascii="Calibri" w:hAnsi="Calibri" w:cs="Arial"/>
      <w:b/>
      <w:bCs/>
      <w:sz w:val="20"/>
      <w:szCs w:val="20"/>
    </w:rPr>
  </w:style>
  <w:style w:type="paragraph" w:styleId="Header">
    <w:name w:val="header"/>
    <w:basedOn w:val="Normal"/>
    <w:link w:val="HeaderChar"/>
    <w:uiPriority w:val="99"/>
    <w:unhideWhenUsed/>
    <w:rsid w:val="00700182"/>
    <w:pPr>
      <w:tabs>
        <w:tab w:val="center" w:pos="4513"/>
        <w:tab w:val="right" w:pos="9026"/>
      </w:tabs>
      <w:spacing w:line="240" w:lineRule="auto"/>
    </w:pPr>
  </w:style>
  <w:style w:type="character" w:customStyle="1" w:styleId="HeaderChar">
    <w:name w:val="Header Char"/>
    <w:basedOn w:val="DefaultParagraphFont"/>
    <w:link w:val="Header"/>
    <w:uiPriority w:val="99"/>
    <w:rsid w:val="00700182"/>
    <w:rPr>
      <w:rFonts w:ascii="Calibri" w:hAnsi="Calibri" w:cs="Arial"/>
    </w:rPr>
  </w:style>
  <w:style w:type="paragraph" w:styleId="Footer">
    <w:name w:val="footer"/>
    <w:basedOn w:val="Normal"/>
    <w:link w:val="FooterChar"/>
    <w:uiPriority w:val="99"/>
    <w:unhideWhenUsed/>
    <w:rsid w:val="00700182"/>
    <w:pPr>
      <w:tabs>
        <w:tab w:val="center" w:pos="4513"/>
        <w:tab w:val="right" w:pos="9026"/>
      </w:tabs>
      <w:spacing w:line="240" w:lineRule="auto"/>
    </w:pPr>
  </w:style>
  <w:style w:type="character" w:customStyle="1" w:styleId="FooterChar">
    <w:name w:val="Footer Char"/>
    <w:basedOn w:val="DefaultParagraphFont"/>
    <w:link w:val="Footer"/>
    <w:uiPriority w:val="99"/>
    <w:rsid w:val="00700182"/>
    <w:rPr>
      <w:rFonts w:ascii="Calibri" w:hAnsi="Calibri" w:cs="Arial"/>
    </w:rPr>
  </w:style>
  <w:style w:type="paragraph" w:styleId="BalloonText">
    <w:name w:val="Balloon Text"/>
    <w:basedOn w:val="Normal"/>
    <w:link w:val="BalloonTextChar"/>
    <w:uiPriority w:val="99"/>
    <w:semiHidden/>
    <w:unhideWhenUsed/>
    <w:rsid w:val="00405C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qid=1593086905382&amp;uri=CELEX:52020DC0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A1F05C9-A22A-4A24-81EA-35F391C06964}">
  <ds:schemaRefs>
    <ds:schemaRef ds:uri="http://schemas.openxmlformats.org/officeDocument/2006/bibliography"/>
  </ds:schemaRefs>
</ds:datastoreItem>
</file>

<file path=customXml/itemProps2.xml><?xml version="1.0" encoding="utf-8"?>
<ds:datastoreItem xmlns:ds="http://schemas.openxmlformats.org/officeDocument/2006/customXml" ds:itemID="{48CE2658-157A-4236-B83F-DFBBD2BD15C0}"/>
</file>

<file path=customXml/itemProps3.xml><?xml version="1.0" encoding="utf-8"?>
<ds:datastoreItem xmlns:ds="http://schemas.openxmlformats.org/officeDocument/2006/customXml" ds:itemID="{018BE72D-6E0F-412D-B0F3-204BC30B5E59}"/>
</file>

<file path=customXml/itemProps4.xml><?xml version="1.0" encoding="utf-8"?>
<ds:datastoreItem xmlns:ds="http://schemas.openxmlformats.org/officeDocument/2006/customXml" ds:itemID="{24F9624C-C27B-47B8-867B-A606785F74B4}"/>
</file>

<file path=customXml/itemProps5.xml><?xml version="1.0" encoding="utf-8"?>
<ds:datastoreItem xmlns:ds="http://schemas.openxmlformats.org/officeDocument/2006/customXml" ds:itemID="{FF639677-8D30-4E1E-B522-532143034A5F}"/>
</file>

<file path=docProps/app.xml><?xml version="1.0" encoding="utf-8"?>
<Properties xmlns="http://schemas.openxmlformats.org/officeDocument/2006/extended-properties" xmlns:vt="http://schemas.openxmlformats.org/officeDocument/2006/docPropsVTypes">
  <Template>Normal</Template>
  <TotalTime>90</TotalTime>
  <Pages>1</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Claudia Moser</cp:lastModifiedBy>
  <cp:revision>18</cp:revision>
  <dcterms:created xsi:type="dcterms:W3CDTF">2021-06-07T14:43:00Z</dcterms:created>
  <dcterms:modified xsi:type="dcterms:W3CDTF">2021-06-18T11:42:00Z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_Language">
    <vt:lpwstr>7;#English|bdbee8c7-072c-4a33-ae34-5b1e06637655</vt:lpwstr>
  </property>
  <property fmtid="{D5CDD505-2E9C-101B-9397-08002B2CF9AE}" pid="3" name="ContentTypeId">
    <vt:lpwstr>0x01010060932CC2B672364893F35D5FA1591D21</vt:lpwstr>
  </property>
  <property fmtid="{D5CDD505-2E9C-101B-9397-08002B2CF9AE}" pid="4" name="p2fcf63a50b541b9841bb70f49df3317">
    <vt:lpwstr>English|bdbee8c7-072c-4a33-ae34-5b1e06637655</vt:lpwstr>
  </property>
  <property fmtid="{D5CDD505-2E9C-101B-9397-08002B2CF9AE}" pid="5" name="TaxCatchAll">
    <vt:lpwstr>7;#English|bdbee8c7-072c-4a33-ae34-5b1e06637655</vt:lpwstr>
  </property>
</Properties>
</file>