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B7D05" w14:textId="309FDA21" w:rsidR="00F7628D" w:rsidRDefault="00F7628D" w:rsidP="00F7628D">
      <w:pPr>
        <w:pStyle w:val="EndNoteBibliography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Supplementary </w:t>
      </w:r>
      <w:r w:rsidRPr="00CE0B18">
        <w:rPr>
          <w:rFonts w:asciiTheme="minorHAnsi" w:hAnsiTheme="minorHAnsi" w:cstheme="minorHAnsi"/>
          <w:b/>
          <w:bCs/>
          <w:sz w:val="22"/>
          <w:szCs w:val="22"/>
        </w:rPr>
        <w:t xml:space="preserve">Figure S1. </w:t>
      </w:r>
      <w:r>
        <w:rPr>
          <w:rFonts w:asciiTheme="minorHAnsi" w:hAnsiTheme="minorHAnsi" w:cstheme="minorHAnsi"/>
          <w:b/>
          <w:bCs/>
          <w:sz w:val="22"/>
          <w:szCs w:val="22"/>
        </w:rPr>
        <w:t>T</w:t>
      </w:r>
      <w:r w:rsidRPr="00157267">
        <w:rPr>
          <w:rFonts w:asciiTheme="minorHAnsi" w:hAnsiTheme="minorHAnsi" w:cstheme="minorHAnsi"/>
          <w:b/>
          <w:bCs/>
          <w:sz w:val="22"/>
          <w:szCs w:val="22"/>
        </w:rPr>
        <w:t xml:space="preserve">he relative distribution of different cancer sites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(among cases diagnosed with cancer) for </w:t>
      </w:r>
      <w:r w:rsidRPr="00157267">
        <w:rPr>
          <w:rFonts w:asciiTheme="minorHAnsi" w:hAnsiTheme="minorHAnsi" w:cstheme="minorHAnsi"/>
          <w:b/>
          <w:bCs/>
          <w:sz w:val="22"/>
          <w:szCs w:val="22"/>
        </w:rPr>
        <w:t xml:space="preserve">each </w:t>
      </w:r>
      <w:r w:rsidRPr="00CE0B18">
        <w:rPr>
          <w:rFonts w:asciiTheme="minorHAnsi" w:hAnsiTheme="minorHAnsi" w:cstheme="minorHAnsi"/>
          <w:b/>
          <w:bCs/>
          <w:sz w:val="22"/>
          <w:szCs w:val="22"/>
        </w:rPr>
        <w:t>abdominal symptom cohort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CE0B18">
        <w:rPr>
          <w:rFonts w:asciiTheme="minorHAnsi" w:hAnsiTheme="minorHAnsi" w:cstheme="minorHAnsi"/>
          <w:sz w:val="22"/>
          <w:szCs w:val="22"/>
        </w:rPr>
        <w:t>Note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E0B18">
        <w:rPr>
          <w:rFonts w:asciiTheme="minorHAnsi" w:hAnsiTheme="minorHAnsi" w:cstheme="minorHAnsi"/>
          <w:sz w:val="22"/>
          <w:szCs w:val="22"/>
        </w:rPr>
        <w:t xml:space="preserve"> for example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E0B18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OLE_LINK1"/>
      <w:r w:rsidRPr="00CE0B18">
        <w:rPr>
          <w:rFonts w:asciiTheme="minorHAnsi" w:hAnsiTheme="minorHAnsi" w:cstheme="minorHAnsi"/>
          <w:sz w:val="22"/>
          <w:szCs w:val="22"/>
        </w:rPr>
        <w:t>that colon and rectal cancer ‘dominate’ the cancer cases diagnosed after present</w:t>
      </w:r>
      <w:r>
        <w:rPr>
          <w:rFonts w:asciiTheme="minorHAnsi" w:hAnsiTheme="minorHAnsi" w:cstheme="minorHAnsi"/>
          <w:sz w:val="22"/>
          <w:szCs w:val="22"/>
        </w:rPr>
        <w:t xml:space="preserve">ing </w:t>
      </w:r>
      <w:r w:rsidRPr="00CE0B18">
        <w:rPr>
          <w:rFonts w:asciiTheme="minorHAnsi" w:hAnsiTheme="minorHAnsi" w:cstheme="minorHAnsi"/>
          <w:sz w:val="22"/>
          <w:szCs w:val="22"/>
        </w:rPr>
        <w:t>with change in bowel habit or rectal bleeding, whereas a similar</w:t>
      </w:r>
      <w:r>
        <w:rPr>
          <w:rFonts w:asciiTheme="minorHAnsi" w:hAnsiTheme="minorHAnsi" w:cstheme="minorHAnsi"/>
          <w:sz w:val="22"/>
          <w:szCs w:val="22"/>
        </w:rPr>
        <w:t>ly dominant</w:t>
      </w:r>
      <w:r w:rsidRPr="00CE0B18">
        <w:rPr>
          <w:rFonts w:asciiTheme="minorHAnsi" w:hAnsiTheme="minorHAnsi" w:cstheme="minorHAnsi"/>
          <w:sz w:val="22"/>
          <w:szCs w:val="22"/>
        </w:rPr>
        <w:t xml:space="preserve"> pattern is apparent for </w:t>
      </w:r>
      <w:proofErr w:type="spellStart"/>
      <w:r w:rsidRPr="00CE0B18">
        <w:rPr>
          <w:rFonts w:asciiTheme="minorHAnsi" w:hAnsiTheme="minorHAnsi" w:cstheme="minorHAnsi"/>
          <w:sz w:val="22"/>
          <w:szCs w:val="22"/>
        </w:rPr>
        <w:t>oesophageal</w:t>
      </w:r>
      <w:proofErr w:type="spellEnd"/>
      <w:r w:rsidRPr="00CE0B18">
        <w:rPr>
          <w:rFonts w:asciiTheme="minorHAnsi" w:hAnsiTheme="minorHAnsi" w:cstheme="minorHAnsi"/>
          <w:sz w:val="22"/>
          <w:szCs w:val="22"/>
        </w:rPr>
        <w:t xml:space="preserve"> cancer </w:t>
      </w:r>
      <w:r>
        <w:rPr>
          <w:rFonts w:asciiTheme="minorHAnsi" w:hAnsiTheme="minorHAnsi" w:cstheme="minorHAnsi"/>
          <w:sz w:val="22"/>
          <w:szCs w:val="22"/>
        </w:rPr>
        <w:t>among cancer patients diagnosed after</w:t>
      </w:r>
      <w:r w:rsidRPr="00CE0B1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presenting with </w:t>
      </w:r>
      <w:r w:rsidRPr="00CE0B18">
        <w:rPr>
          <w:rFonts w:asciiTheme="minorHAnsi" w:hAnsiTheme="minorHAnsi" w:cstheme="minorHAnsi"/>
          <w:sz w:val="22"/>
          <w:szCs w:val="22"/>
        </w:rPr>
        <w:t>dysphagia</w:t>
      </w:r>
      <w:bookmarkEnd w:id="0"/>
      <w:r w:rsidRPr="00CE0B18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Nonetheless, ‘other’ cancers make up a substantial minority of cancer cases diagnosed.</w:t>
      </w:r>
    </w:p>
    <w:p w14:paraId="31360A62" w14:textId="77777777" w:rsidR="00F7628D" w:rsidRDefault="00F7628D" w:rsidP="00F7628D">
      <w:pPr>
        <w:pStyle w:val="EndNoteBibliography"/>
        <w:rPr>
          <w:rFonts w:asciiTheme="minorHAnsi" w:hAnsiTheme="minorHAnsi" w:cstheme="minorHAnsi"/>
          <w:b/>
          <w:bCs/>
        </w:rPr>
      </w:pPr>
    </w:p>
    <w:p w14:paraId="01391F3B" w14:textId="77777777" w:rsidR="00F7628D" w:rsidRDefault="00F7628D" w:rsidP="00F7628D">
      <w:pPr>
        <w:pStyle w:val="EndNoteBibliography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6843A96B" wp14:editId="06C75743">
            <wp:extent cx="8315311" cy="4631267"/>
            <wp:effectExtent l="0" t="0" r="3810" b="4445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29032" cy="463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74D3" w14:textId="77777777" w:rsidR="00F84E87" w:rsidRPr="00F7628D" w:rsidRDefault="0020752E">
      <w:pPr>
        <w:rPr>
          <w:lang w:val="en-US"/>
        </w:rPr>
      </w:pPr>
    </w:p>
    <w:sectPr w:rsidR="00F84E87" w:rsidRPr="00F7628D" w:rsidSect="00F7628D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28D"/>
    <w:rsid w:val="001260B3"/>
    <w:rsid w:val="0020752E"/>
    <w:rsid w:val="00354DD6"/>
    <w:rsid w:val="003E3CFB"/>
    <w:rsid w:val="004862F4"/>
    <w:rsid w:val="0055732E"/>
    <w:rsid w:val="0066046B"/>
    <w:rsid w:val="008670C7"/>
    <w:rsid w:val="008A0875"/>
    <w:rsid w:val="008A570F"/>
    <w:rsid w:val="00927420"/>
    <w:rsid w:val="009F4A3A"/>
    <w:rsid w:val="00A07D53"/>
    <w:rsid w:val="00F7628D"/>
    <w:rsid w:val="00FE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67EC44"/>
  <w14:defaultImageDpi w14:val="32767"/>
  <w15:chartTrackingRefBased/>
  <w15:docId w15:val="{A043C5EC-7D27-4D43-8B67-981AA6449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ndNoteBibliographyChar">
    <w:name w:val="EndNote Bibliography Char"/>
    <w:link w:val="EndNoteBibliography"/>
    <w:qFormat/>
    <w:rsid w:val="00F7628D"/>
    <w:rPr>
      <w:rFonts w:ascii="Calibri" w:hAnsi="Calibri" w:cs="Calibri"/>
      <w:color w:val="00000A"/>
      <w:lang w:val="en-US"/>
    </w:rPr>
  </w:style>
  <w:style w:type="paragraph" w:customStyle="1" w:styleId="EndNoteBibliography">
    <w:name w:val="EndNote Bibliography"/>
    <w:basedOn w:val="Normal"/>
    <w:link w:val="EndNoteBibliographyChar"/>
    <w:qFormat/>
    <w:rsid w:val="00F7628D"/>
    <w:pPr>
      <w:jc w:val="both"/>
    </w:pPr>
    <w:rPr>
      <w:rFonts w:ascii="Calibri" w:hAnsi="Calibri" w:cs="Calibri"/>
      <w:color w:val="00000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Lyratzopoulos, Georgios</dc:creator>
  <cp:keywords/>
  <dc:description/>
  <cp:lastModifiedBy>Lyratzopoulos, Georgios</cp:lastModifiedBy>
  <cp:revision>2</cp:revision>
  <dcterms:created xsi:type="dcterms:W3CDTF">2021-04-20T21:34:00Z</dcterms:created>
  <dcterms:modified xsi:type="dcterms:W3CDTF">2021-07-21T22:26:00Z</dcterms:modified>
</cp:coreProperties>
</file>