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E74" w14:textId="1C584B95" w:rsidR="007E5143" w:rsidRPr="00B82BF7" w:rsidRDefault="009A79DE" w:rsidP="00B82BF7">
      <w:pPr>
        <w:jc w:val="both"/>
        <w:rPr>
          <w:rFonts w:ascii="Verdana" w:hAnsi="Verdana"/>
          <w:smallCaps/>
          <w:sz w:val="20"/>
          <w:lang w:val="nl-BE"/>
        </w:rPr>
      </w:pPr>
      <w:proofErr w:type="spellStart"/>
      <w:r w:rsidRPr="00B82BF7">
        <w:rPr>
          <w:rFonts w:ascii="Verdana" w:hAnsi="Verdana"/>
          <w:b/>
          <w:smallCaps/>
          <w:sz w:val="20"/>
          <w:lang w:val="nl-BE"/>
        </w:rPr>
        <w:t>l</w:t>
      </w:r>
      <w:r w:rsidR="005F4DB2" w:rsidRPr="00B82BF7">
        <w:rPr>
          <w:rFonts w:ascii="Verdana" w:hAnsi="Verdana"/>
          <w:b/>
          <w:smallCaps/>
          <w:sz w:val="20"/>
          <w:lang w:val="nl-BE"/>
        </w:rPr>
        <w:t>ydia</w:t>
      </w:r>
      <w:proofErr w:type="spellEnd"/>
      <w:r w:rsidR="005F4DB2" w:rsidRPr="00B82BF7">
        <w:rPr>
          <w:rFonts w:ascii="Verdana" w:hAnsi="Verdana"/>
          <w:b/>
          <w:smallCaps/>
          <w:sz w:val="20"/>
          <w:lang w:val="nl-BE"/>
        </w:rPr>
        <w:t xml:space="preserve"> </w:t>
      </w:r>
      <w:r w:rsidRPr="00B82BF7">
        <w:rPr>
          <w:rFonts w:ascii="Verdana" w:hAnsi="Verdana"/>
          <w:b/>
          <w:smallCaps/>
          <w:sz w:val="20"/>
          <w:lang w:val="nl-BE"/>
        </w:rPr>
        <w:t>p</w:t>
      </w:r>
      <w:r w:rsidR="005F4DB2" w:rsidRPr="00B82BF7">
        <w:rPr>
          <w:rFonts w:ascii="Verdana" w:hAnsi="Verdana"/>
          <w:b/>
          <w:smallCaps/>
          <w:sz w:val="20"/>
          <w:lang w:val="nl-BE"/>
        </w:rPr>
        <w:t>eeters</w:t>
      </w:r>
    </w:p>
    <w:p w14:paraId="12AADB50" w14:textId="77777777" w:rsidR="006A3D0A" w:rsidRPr="00B82BF7" w:rsidRDefault="007E5143" w:rsidP="00B82BF7">
      <w:pPr>
        <w:jc w:val="both"/>
        <w:rPr>
          <w:rFonts w:ascii="Verdana" w:hAnsi="Verdana"/>
          <w:smallCaps/>
          <w:sz w:val="20"/>
          <w:lang w:val="nl-BE"/>
        </w:rPr>
      </w:pPr>
      <w:proofErr w:type="spellStart"/>
      <w:r w:rsidRPr="00B82BF7">
        <w:rPr>
          <w:rFonts w:ascii="Verdana" w:hAnsi="Verdana"/>
          <w:smallCaps/>
          <w:sz w:val="20"/>
          <w:lang w:val="nl-BE"/>
        </w:rPr>
        <w:t>vlaams</w:t>
      </w:r>
      <w:proofErr w:type="spellEnd"/>
      <w:r w:rsidRPr="00B82BF7">
        <w:rPr>
          <w:rFonts w:ascii="Verdana" w:hAnsi="Verdana"/>
          <w:smallCaps/>
          <w:sz w:val="20"/>
          <w:lang w:val="nl-BE"/>
        </w:rPr>
        <w:t xml:space="preserve"> minister van mobiliteit</w:t>
      </w:r>
      <w:r w:rsidR="005F4DB2" w:rsidRPr="00B82BF7">
        <w:rPr>
          <w:rFonts w:ascii="Verdana" w:hAnsi="Verdana"/>
          <w:smallCaps/>
          <w:sz w:val="20"/>
          <w:lang w:val="nl-BE"/>
        </w:rPr>
        <w:t xml:space="preserve"> en</w:t>
      </w:r>
      <w:r w:rsidRPr="00B82BF7">
        <w:rPr>
          <w:rFonts w:ascii="Verdana" w:hAnsi="Verdana"/>
          <w:smallCaps/>
          <w:sz w:val="20"/>
          <w:lang w:val="nl-BE"/>
        </w:rPr>
        <w:t xml:space="preserve"> openbare werken</w:t>
      </w:r>
    </w:p>
    <w:p w14:paraId="3FAC575E" w14:textId="77777777" w:rsidR="007E5143" w:rsidRPr="00B82BF7" w:rsidRDefault="007E5143" w:rsidP="00B82BF7">
      <w:pPr>
        <w:pStyle w:val="StandaardSV"/>
        <w:pBdr>
          <w:bottom w:val="single" w:sz="4" w:space="1" w:color="auto"/>
        </w:pBdr>
        <w:rPr>
          <w:rFonts w:ascii="Verdana" w:hAnsi="Verdana"/>
          <w:sz w:val="20"/>
          <w:lang w:val="nl-BE"/>
        </w:rPr>
      </w:pPr>
    </w:p>
    <w:p w14:paraId="51A079AE" w14:textId="77777777" w:rsidR="007E5143" w:rsidRPr="00B82BF7" w:rsidRDefault="007E5143" w:rsidP="00B82BF7">
      <w:pPr>
        <w:jc w:val="both"/>
        <w:rPr>
          <w:rFonts w:ascii="Verdana" w:hAnsi="Verdana"/>
          <w:sz w:val="20"/>
        </w:rPr>
      </w:pPr>
    </w:p>
    <w:p w14:paraId="1468DB76" w14:textId="77777777" w:rsidR="007E5143" w:rsidRPr="00B82BF7" w:rsidRDefault="00A368AB" w:rsidP="00B82BF7">
      <w:pPr>
        <w:jc w:val="both"/>
        <w:rPr>
          <w:rFonts w:ascii="Verdana" w:hAnsi="Verdana"/>
          <w:b/>
          <w:sz w:val="20"/>
        </w:rPr>
      </w:pPr>
      <w:r w:rsidRPr="00B82BF7">
        <w:rPr>
          <w:rFonts w:ascii="Verdana" w:hAnsi="Verdana"/>
          <w:b/>
          <w:smallCaps/>
          <w:sz w:val="20"/>
          <w:lang w:val="nl-BE"/>
        </w:rPr>
        <w:t>antwoord</w:t>
      </w:r>
    </w:p>
    <w:p w14:paraId="15B7E9C7" w14:textId="6A13F689" w:rsidR="007E5143" w:rsidRPr="00B82BF7" w:rsidRDefault="007E5143" w:rsidP="00B82BF7">
      <w:pPr>
        <w:jc w:val="both"/>
        <w:rPr>
          <w:rFonts w:ascii="Verdana" w:hAnsi="Verdana"/>
          <w:sz w:val="20"/>
        </w:rPr>
      </w:pPr>
      <w:r w:rsidRPr="00B82BF7">
        <w:rPr>
          <w:rFonts w:ascii="Verdana" w:hAnsi="Verdana"/>
          <w:sz w:val="20"/>
        </w:rPr>
        <w:t>op vraag nr.</w:t>
      </w:r>
      <w:r w:rsidR="003237F9" w:rsidRPr="00B82BF7">
        <w:rPr>
          <w:rFonts w:ascii="Verdana" w:hAnsi="Verdana"/>
          <w:sz w:val="20"/>
        </w:rPr>
        <w:t xml:space="preserve"> </w:t>
      </w:r>
      <w:sdt>
        <w:sdtPr>
          <w:rPr>
            <w:rFonts w:ascii="Verdana" w:hAnsi="Verdana"/>
            <w:sz w:val="20"/>
          </w:rPr>
          <w:alias w:val="nrSV"/>
          <w:tag w:val="nrSV"/>
          <w:id w:val="1279755545"/>
          <w:placeholder>
            <w:docPart w:val="5FC23EE5E4A94C039260A5F8FA768963"/>
          </w:placeholder>
          <w:showingPlcHdr/>
          <w:text/>
        </w:sdtPr>
        <w:sdtEndPr/>
        <w:sdtContent>
          <w:r w:rsidR="00A122FE" w:rsidRPr="00B82BF7">
            <w:rPr>
              <w:rFonts w:ascii="Verdana" w:hAnsi="Verdana"/>
              <w:sz w:val="20"/>
            </w:rPr>
            <w:t>854</w:t>
          </w:r>
        </w:sdtContent>
      </w:sdt>
      <w:r w:rsidR="00A368AB" w:rsidRPr="00B82BF7">
        <w:rPr>
          <w:rFonts w:ascii="Verdana" w:hAnsi="Verdana"/>
          <w:sz w:val="20"/>
        </w:rPr>
        <w:t xml:space="preserve"> </w:t>
      </w:r>
      <w:r w:rsidR="00BA0F58" w:rsidRPr="00B82BF7">
        <w:rPr>
          <w:rFonts w:ascii="Verdana" w:hAnsi="Verdana"/>
          <w:sz w:val="20"/>
        </w:rPr>
        <w:t>van</w:t>
      </w:r>
      <w:r w:rsidR="00A368AB" w:rsidRPr="00B82BF7">
        <w:rPr>
          <w:rFonts w:ascii="Verdana" w:hAnsi="Verdana"/>
          <w:sz w:val="20"/>
        </w:rPr>
        <w:t xml:space="preserve"> </w:t>
      </w:r>
      <w:r w:rsidR="000A12DE" w:rsidRPr="00B82BF7">
        <w:rPr>
          <w:rFonts w:ascii="Verdana" w:hAnsi="Verdana"/>
          <w:sz w:val="20"/>
        </w:rPr>
        <w:t>9 maart 2021</w:t>
      </w:r>
    </w:p>
    <w:p w14:paraId="4B903BB4" w14:textId="20C75347" w:rsidR="00C90FDF" w:rsidRPr="00B82BF7" w:rsidRDefault="007E5143" w:rsidP="00B82BF7">
      <w:pPr>
        <w:jc w:val="both"/>
        <w:rPr>
          <w:rFonts w:ascii="Verdana" w:hAnsi="Verdana"/>
          <w:smallCaps/>
          <w:sz w:val="20"/>
          <w:lang w:val="nl-BE"/>
        </w:rPr>
      </w:pPr>
      <w:r w:rsidRPr="00B82BF7">
        <w:rPr>
          <w:rFonts w:ascii="Verdana" w:hAnsi="Verdana"/>
          <w:sz w:val="20"/>
        </w:rPr>
        <w:t xml:space="preserve">van </w:t>
      </w:r>
      <w:sdt>
        <w:sdtPr>
          <w:rPr>
            <w:rFonts w:ascii="Verdana" w:hAnsi="Verdana"/>
            <w:b/>
            <w:smallCaps/>
            <w:sz w:val="20"/>
            <w:lang w:val="nl-BE"/>
          </w:rPr>
          <w:alias w:val="Vraagsteller"/>
          <w:tag w:val="Vraagsteller"/>
          <w:id w:val="-1633174634"/>
          <w:placeholder>
            <w:docPart w:val="FBEF1B138E704E46BF315254AFC2CF14"/>
          </w:placeholder>
          <w:showingPlcHdr/>
          <w:text/>
        </w:sdtPr>
        <w:sdtEndPr/>
        <w:sdtContent/>
      </w:sdt>
      <w:proofErr w:type="spellStart"/>
      <w:r w:rsidR="007371D7" w:rsidRPr="00B82BF7">
        <w:rPr>
          <w:rFonts w:ascii="Verdana" w:hAnsi="Verdana"/>
          <w:b/>
          <w:smallCaps/>
          <w:sz w:val="20"/>
          <w:lang w:val="nl-BE"/>
        </w:rPr>
        <w:t>guy</w:t>
      </w:r>
      <w:proofErr w:type="spellEnd"/>
      <w:r w:rsidR="007371D7" w:rsidRPr="00B82BF7">
        <w:rPr>
          <w:rFonts w:ascii="Verdana" w:hAnsi="Verdana"/>
          <w:b/>
          <w:smallCaps/>
          <w:sz w:val="20"/>
          <w:lang w:val="nl-BE"/>
        </w:rPr>
        <w:t xml:space="preserve"> </w:t>
      </w:r>
      <w:proofErr w:type="spellStart"/>
      <w:r w:rsidR="007371D7" w:rsidRPr="00B82BF7">
        <w:rPr>
          <w:rFonts w:ascii="Verdana" w:hAnsi="Verdana"/>
          <w:b/>
          <w:smallCaps/>
          <w:sz w:val="20"/>
          <w:lang w:val="nl-BE"/>
        </w:rPr>
        <w:t>d’haeseleer</w:t>
      </w:r>
      <w:proofErr w:type="spellEnd"/>
    </w:p>
    <w:p w14:paraId="774F3C02" w14:textId="77777777" w:rsidR="007E5143" w:rsidRPr="00B82BF7" w:rsidRDefault="007E5143" w:rsidP="00B82BF7">
      <w:pPr>
        <w:pBdr>
          <w:bottom w:val="single" w:sz="4" w:space="1" w:color="auto"/>
        </w:pBdr>
        <w:jc w:val="both"/>
        <w:rPr>
          <w:rFonts w:ascii="Verdana" w:hAnsi="Verdana"/>
          <w:sz w:val="20"/>
        </w:rPr>
      </w:pPr>
    </w:p>
    <w:p w14:paraId="35BE0DD7" w14:textId="3AFCA7E5" w:rsidR="004E6C14" w:rsidRPr="00B82BF7" w:rsidRDefault="004E6C14" w:rsidP="00B82BF7">
      <w:pPr>
        <w:ind w:left="426"/>
        <w:jc w:val="both"/>
        <w:rPr>
          <w:rFonts w:ascii="Verdana" w:hAnsi="Verdana"/>
          <w:sz w:val="20"/>
        </w:rPr>
      </w:pPr>
    </w:p>
    <w:p w14:paraId="09C1D07D" w14:textId="77777777" w:rsidR="000A12DE" w:rsidRPr="00B82BF7" w:rsidRDefault="000A12DE" w:rsidP="00B82BF7">
      <w:pPr>
        <w:ind w:left="426"/>
        <w:jc w:val="both"/>
        <w:rPr>
          <w:rFonts w:ascii="Verdana" w:hAnsi="Verdana"/>
          <w:sz w:val="20"/>
        </w:rPr>
      </w:pPr>
    </w:p>
    <w:p w14:paraId="7E15CE4A" w14:textId="77777777" w:rsidR="002A12D9" w:rsidRPr="00B82BF7" w:rsidRDefault="46B04BD4" w:rsidP="00B82BF7">
      <w:pPr>
        <w:pStyle w:val="Lijstalinea"/>
        <w:numPr>
          <w:ilvl w:val="0"/>
          <w:numId w:val="9"/>
        </w:numPr>
        <w:jc w:val="both"/>
        <w:rPr>
          <w:rFonts w:ascii="Verdana" w:hAnsi="Verdana"/>
          <w:sz w:val="20"/>
          <w:szCs w:val="20"/>
        </w:rPr>
      </w:pPr>
      <w:r w:rsidRPr="00B82BF7">
        <w:rPr>
          <w:rFonts w:ascii="Verdana" w:eastAsia="Verdana" w:hAnsi="Verdana" w:cs="Verdana"/>
          <w:sz w:val="20"/>
          <w:szCs w:val="20"/>
        </w:rPr>
        <w:t>Het verminderd gebruik van het openbaar vervoer is enige mate zichtbaar in de agressiecijfers voor het jaar 2020. Dit toont zich echter niet in de categorie ‘Andere feiten. In de categorie ‘Fysieke agressie’ en enigszins in de categorie ‘Verbale agressie’ toont de vermindering zich ook niet over heel Vlaanderen. In de categorie Overlast’ toont zich zelfs een stijging in zone West, omdat het nieuw gegeven van ‘geen mondmaskerdracht’ wordt geregistreerd binnen ‘overlast’.</w:t>
      </w:r>
    </w:p>
    <w:p w14:paraId="18A37D7D" w14:textId="2597DD34" w:rsidR="00060F25" w:rsidRPr="00B82BF7" w:rsidRDefault="00060F25" w:rsidP="00B82BF7">
      <w:pPr>
        <w:pStyle w:val="Lijstalinea"/>
        <w:ind w:left="360"/>
        <w:jc w:val="both"/>
        <w:rPr>
          <w:rFonts w:ascii="Verdana" w:hAnsi="Verdana"/>
          <w:sz w:val="20"/>
          <w:szCs w:val="20"/>
        </w:rPr>
      </w:pPr>
      <w:r w:rsidRPr="00B82BF7">
        <w:rPr>
          <w:rFonts w:ascii="Verdana" w:hAnsi="Verdana"/>
          <w:sz w:val="20"/>
          <w:szCs w:val="20"/>
        </w:rPr>
        <w:br/>
      </w:r>
      <w:r w:rsidR="46B04BD4" w:rsidRPr="00B82BF7">
        <w:rPr>
          <w:rFonts w:ascii="Verdana" w:hAnsi="Verdana"/>
          <w:noProof/>
          <w:sz w:val="20"/>
          <w:szCs w:val="20"/>
        </w:rPr>
        <w:drawing>
          <wp:inline distT="0" distB="0" distL="0" distR="0" wp14:anchorId="5491C716" wp14:editId="47F8157E">
            <wp:extent cx="3143250" cy="2228850"/>
            <wp:effectExtent l="0" t="0" r="0" b="0"/>
            <wp:docPr id="2143731504" name="Afbeelding 214373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143250" cy="2228850"/>
                    </a:xfrm>
                    <a:prstGeom prst="rect">
                      <a:avLst/>
                    </a:prstGeom>
                  </pic:spPr>
                </pic:pic>
              </a:graphicData>
            </a:graphic>
          </wp:inline>
        </w:drawing>
      </w:r>
    </w:p>
    <w:p w14:paraId="2A7209F3" w14:textId="1B0D18B0" w:rsidR="00060F25" w:rsidRPr="00B82BF7" w:rsidRDefault="00060F25" w:rsidP="00B82BF7">
      <w:pPr>
        <w:jc w:val="both"/>
        <w:rPr>
          <w:rFonts w:ascii="Verdana" w:hAnsi="Verdana"/>
          <w:sz w:val="20"/>
        </w:rPr>
      </w:pPr>
    </w:p>
    <w:p w14:paraId="4A899C61" w14:textId="2DE0CE93" w:rsidR="00060F25" w:rsidRPr="00B82BF7" w:rsidRDefault="46B04BD4" w:rsidP="00B82BF7">
      <w:pPr>
        <w:pStyle w:val="Lijstalinea"/>
        <w:numPr>
          <w:ilvl w:val="0"/>
          <w:numId w:val="9"/>
        </w:numPr>
        <w:jc w:val="both"/>
        <w:rPr>
          <w:rFonts w:ascii="Verdana" w:eastAsia="Verdana" w:hAnsi="Verdana" w:cs="Verdana"/>
          <w:color w:val="000000" w:themeColor="text1"/>
          <w:sz w:val="20"/>
          <w:szCs w:val="20"/>
        </w:rPr>
      </w:pPr>
      <w:r w:rsidRPr="00B82BF7">
        <w:rPr>
          <w:rFonts w:ascii="Verdana" w:eastAsia="Verdana" w:hAnsi="Verdana" w:cs="Verdana"/>
          <w:sz w:val="20"/>
          <w:szCs w:val="20"/>
        </w:rPr>
        <w:t>Tijdens de 2020-analyse kwam De Lijn tot de vaststelling dat de cijfers voorheen gerapporteerd voor 2018 en 2019 het aantal dagen werkonbekwaamheid betrof van alle medewerkers van De Lijn en dus niet alleen de chauffeurs. De hieronder vermelde cijfers zijn gecorrigeerd en betreffen nu alleen de dagen werkonbekwaamheid van chauffeurs.</w:t>
      </w:r>
    </w:p>
    <w:p w14:paraId="17C70667" w14:textId="167EA5AE" w:rsidR="00060F25" w:rsidRPr="00B82BF7" w:rsidRDefault="00060F25" w:rsidP="00B82BF7">
      <w:pPr>
        <w:jc w:val="both"/>
        <w:rPr>
          <w:rFonts w:ascii="Verdana" w:hAnsi="Verdana"/>
          <w:sz w:val="20"/>
        </w:rPr>
      </w:pPr>
    </w:p>
    <w:tbl>
      <w:tblPr>
        <w:tblW w:w="0" w:type="auto"/>
        <w:tblLayout w:type="fixed"/>
        <w:tblLook w:val="04A0" w:firstRow="1" w:lastRow="0" w:firstColumn="1" w:lastColumn="0" w:noHBand="0" w:noVBand="1"/>
      </w:tblPr>
      <w:tblGrid>
        <w:gridCol w:w="4320"/>
        <w:gridCol w:w="960"/>
        <w:gridCol w:w="960"/>
        <w:gridCol w:w="960"/>
      </w:tblGrid>
      <w:tr w:rsidR="47F8157E" w:rsidRPr="00B82BF7" w14:paraId="73393155" w14:textId="77777777" w:rsidTr="47F8157E">
        <w:trPr>
          <w:trHeight w:val="870"/>
        </w:trPr>
        <w:tc>
          <w:tcPr>
            <w:tcW w:w="4320" w:type="dxa"/>
            <w:tcBorders>
              <w:top w:val="single" w:sz="8" w:space="0" w:color="auto"/>
              <w:left w:val="single" w:sz="8" w:space="0" w:color="auto"/>
              <w:bottom w:val="single" w:sz="8" w:space="0" w:color="auto"/>
              <w:right w:val="single" w:sz="8" w:space="0" w:color="auto"/>
            </w:tcBorders>
            <w:shd w:val="clear" w:color="auto" w:fill="CCCCCC"/>
            <w:vAlign w:val="center"/>
          </w:tcPr>
          <w:p w14:paraId="40012C17" w14:textId="05F49FAB"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Aantal dagen werkonbekwaamheid chauffeurs De Lijn n.a.v. agressiegerelateerde arbeidsongevallen</w:t>
            </w:r>
          </w:p>
        </w:tc>
        <w:tc>
          <w:tcPr>
            <w:tcW w:w="960" w:type="dxa"/>
            <w:tcBorders>
              <w:top w:val="single" w:sz="8" w:space="0" w:color="auto"/>
              <w:left w:val="single" w:sz="8" w:space="0" w:color="auto"/>
              <w:bottom w:val="single" w:sz="8" w:space="0" w:color="auto"/>
              <w:right w:val="single" w:sz="8" w:space="0" w:color="auto"/>
            </w:tcBorders>
            <w:shd w:val="clear" w:color="auto" w:fill="CCCCCC"/>
            <w:vAlign w:val="center"/>
          </w:tcPr>
          <w:p w14:paraId="36D4CB52" w14:textId="1E7FEEE7"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2018</w:t>
            </w:r>
          </w:p>
        </w:tc>
        <w:tc>
          <w:tcPr>
            <w:tcW w:w="960" w:type="dxa"/>
            <w:tcBorders>
              <w:top w:val="single" w:sz="8" w:space="0" w:color="auto"/>
              <w:left w:val="single" w:sz="8" w:space="0" w:color="auto"/>
              <w:bottom w:val="single" w:sz="8" w:space="0" w:color="auto"/>
              <w:right w:val="single" w:sz="8" w:space="0" w:color="auto"/>
            </w:tcBorders>
            <w:shd w:val="clear" w:color="auto" w:fill="CCCCCC"/>
            <w:vAlign w:val="center"/>
          </w:tcPr>
          <w:p w14:paraId="4C35F7B2" w14:textId="292BFC5E"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2019</w:t>
            </w:r>
          </w:p>
        </w:tc>
        <w:tc>
          <w:tcPr>
            <w:tcW w:w="960" w:type="dxa"/>
            <w:tcBorders>
              <w:top w:val="single" w:sz="8" w:space="0" w:color="auto"/>
              <w:left w:val="single" w:sz="8" w:space="0" w:color="auto"/>
              <w:bottom w:val="single" w:sz="8" w:space="0" w:color="auto"/>
              <w:right w:val="single" w:sz="8" w:space="0" w:color="auto"/>
            </w:tcBorders>
            <w:shd w:val="clear" w:color="auto" w:fill="CCCCCC"/>
            <w:vAlign w:val="center"/>
          </w:tcPr>
          <w:p w14:paraId="7FECE62F" w14:textId="621251EA"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2020</w:t>
            </w:r>
          </w:p>
        </w:tc>
      </w:tr>
      <w:tr w:rsidR="47F8157E" w:rsidRPr="00B82BF7" w14:paraId="573C6022" w14:textId="77777777" w:rsidTr="47F8157E">
        <w:trPr>
          <w:trHeight w:val="285"/>
        </w:trPr>
        <w:tc>
          <w:tcPr>
            <w:tcW w:w="4320" w:type="dxa"/>
            <w:tcBorders>
              <w:top w:val="single" w:sz="8" w:space="0" w:color="auto"/>
              <w:left w:val="single" w:sz="8" w:space="0" w:color="auto"/>
              <w:bottom w:val="single" w:sz="8" w:space="0" w:color="auto"/>
              <w:right w:val="single" w:sz="8" w:space="0" w:color="auto"/>
            </w:tcBorders>
            <w:vAlign w:val="center"/>
          </w:tcPr>
          <w:p w14:paraId="6FBC7D37" w14:textId="6AFFF5A1" w:rsidR="47F8157E" w:rsidRPr="00B82BF7" w:rsidRDefault="47F8157E" w:rsidP="00B82BF7">
            <w:pPr>
              <w:jc w:val="right"/>
              <w:rPr>
                <w:rFonts w:ascii="Verdana" w:eastAsia="Verdana" w:hAnsi="Verdana" w:cs="Verdana"/>
                <w:sz w:val="20"/>
                <w:lang w:val="nl"/>
              </w:rPr>
            </w:pPr>
            <w:r w:rsidRPr="00B82BF7">
              <w:rPr>
                <w:rFonts w:ascii="Verdana" w:eastAsia="Verdana" w:hAnsi="Verdana" w:cs="Verdana"/>
                <w:sz w:val="20"/>
                <w:lang w:val="nl"/>
              </w:rPr>
              <w:t>Zone Oost</w:t>
            </w:r>
          </w:p>
        </w:tc>
        <w:tc>
          <w:tcPr>
            <w:tcW w:w="960" w:type="dxa"/>
            <w:tcBorders>
              <w:top w:val="single" w:sz="8" w:space="0" w:color="auto"/>
              <w:left w:val="single" w:sz="8" w:space="0" w:color="auto"/>
              <w:bottom w:val="single" w:sz="8" w:space="0" w:color="auto"/>
              <w:right w:val="single" w:sz="8" w:space="0" w:color="auto"/>
            </w:tcBorders>
            <w:vAlign w:val="center"/>
          </w:tcPr>
          <w:p w14:paraId="0C28AE7A" w14:textId="17F403A6" w:rsidR="47F8157E" w:rsidRPr="00B82BF7" w:rsidRDefault="47F8157E" w:rsidP="00B82BF7">
            <w:pPr>
              <w:jc w:val="center"/>
              <w:rPr>
                <w:rFonts w:ascii="Verdana" w:eastAsia="Verdana" w:hAnsi="Verdana" w:cs="Verdana"/>
                <w:sz w:val="20"/>
                <w:lang w:val="nl"/>
              </w:rPr>
            </w:pPr>
            <w:r w:rsidRPr="00B82BF7">
              <w:rPr>
                <w:rFonts w:ascii="Verdana" w:eastAsia="Verdana" w:hAnsi="Verdana" w:cs="Verdana"/>
                <w:sz w:val="20"/>
                <w:lang w:val="nl"/>
              </w:rPr>
              <w:t>1127</w:t>
            </w:r>
          </w:p>
        </w:tc>
        <w:tc>
          <w:tcPr>
            <w:tcW w:w="960" w:type="dxa"/>
            <w:tcBorders>
              <w:top w:val="single" w:sz="8" w:space="0" w:color="auto"/>
              <w:left w:val="single" w:sz="8" w:space="0" w:color="auto"/>
              <w:bottom w:val="single" w:sz="8" w:space="0" w:color="auto"/>
              <w:right w:val="single" w:sz="8" w:space="0" w:color="auto"/>
            </w:tcBorders>
            <w:vAlign w:val="center"/>
          </w:tcPr>
          <w:p w14:paraId="113BCDDD" w14:textId="0C253135" w:rsidR="47F8157E" w:rsidRPr="00B82BF7" w:rsidRDefault="47F8157E" w:rsidP="00B82BF7">
            <w:pPr>
              <w:jc w:val="center"/>
              <w:rPr>
                <w:rFonts w:ascii="Verdana" w:eastAsia="Verdana" w:hAnsi="Verdana" w:cs="Verdana"/>
                <w:sz w:val="20"/>
                <w:lang w:val="nl"/>
              </w:rPr>
            </w:pPr>
            <w:r w:rsidRPr="00B82BF7">
              <w:rPr>
                <w:rFonts w:ascii="Verdana" w:eastAsia="Verdana" w:hAnsi="Verdana" w:cs="Verdana"/>
                <w:sz w:val="20"/>
                <w:lang w:val="nl"/>
              </w:rPr>
              <w:t>2264</w:t>
            </w:r>
          </w:p>
        </w:tc>
        <w:tc>
          <w:tcPr>
            <w:tcW w:w="960" w:type="dxa"/>
            <w:tcBorders>
              <w:top w:val="single" w:sz="8" w:space="0" w:color="auto"/>
              <w:left w:val="single" w:sz="8" w:space="0" w:color="auto"/>
              <w:bottom w:val="single" w:sz="8" w:space="0" w:color="auto"/>
              <w:right w:val="single" w:sz="8" w:space="0" w:color="auto"/>
            </w:tcBorders>
            <w:vAlign w:val="center"/>
          </w:tcPr>
          <w:p w14:paraId="031DFF47" w14:textId="2E7AFA9B" w:rsidR="47F8157E" w:rsidRPr="00B82BF7" w:rsidRDefault="47F8157E" w:rsidP="00B82BF7">
            <w:pPr>
              <w:jc w:val="center"/>
              <w:rPr>
                <w:rFonts w:ascii="Verdana" w:eastAsia="Verdana" w:hAnsi="Verdana" w:cs="Verdana"/>
                <w:sz w:val="20"/>
                <w:lang w:val="nl"/>
              </w:rPr>
            </w:pPr>
            <w:r w:rsidRPr="00B82BF7">
              <w:rPr>
                <w:rFonts w:ascii="Verdana" w:eastAsia="Verdana" w:hAnsi="Verdana" w:cs="Verdana"/>
                <w:sz w:val="20"/>
                <w:lang w:val="nl"/>
              </w:rPr>
              <w:t>1456</w:t>
            </w:r>
          </w:p>
        </w:tc>
      </w:tr>
      <w:tr w:rsidR="47F8157E" w:rsidRPr="00B82BF7" w14:paraId="55E032E4" w14:textId="77777777" w:rsidTr="47F8157E">
        <w:trPr>
          <w:trHeight w:val="285"/>
        </w:trPr>
        <w:tc>
          <w:tcPr>
            <w:tcW w:w="4320" w:type="dxa"/>
            <w:tcBorders>
              <w:top w:val="single" w:sz="8" w:space="0" w:color="auto"/>
              <w:left w:val="single" w:sz="8" w:space="0" w:color="auto"/>
              <w:bottom w:val="single" w:sz="8" w:space="0" w:color="auto"/>
              <w:right w:val="single" w:sz="8" w:space="0" w:color="auto"/>
            </w:tcBorders>
            <w:vAlign w:val="center"/>
          </w:tcPr>
          <w:p w14:paraId="4ADB4595" w14:textId="12262A2C" w:rsidR="47F8157E" w:rsidRPr="00B82BF7" w:rsidRDefault="47F8157E" w:rsidP="00B82BF7">
            <w:pPr>
              <w:jc w:val="right"/>
              <w:rPr>
                <w:rFonts w:ascii="Verdana" w:eastAsia="Verdana" w:hAnsi="Verdana" w:cs="Verdana"/>
                <w:sz w:val="20"/>
                <w:lang w:val="nl"/>
              </w:rPr>
            </w:pPr>
            <w:r w:rsidRPr="00B82BF7">
              <w:rPr>
                <w:rFonts w:ascii="Verdana" w:eastAsia="Verdana" w:hAnsi="Verdana" w:cs="Verdana"/>
                <w:sz w:val="20"/>
                <w:lang w:val="nl"/>
              </w:rPr>
              <w:t>Zone West</w:t>
            </w:r>
          </w:p>
        </w:tc>
        <w:tc>
          <w:tcPr>
            <w:tcW w:w="960" w:type="dxa"/>
            <w:tcBorders>
              <w:top w:val="single" w:sz="8" w:space="0" w:color="auto"/>
              <w:left w:val="single" w:sz="8" w:space="0" w:color="auto"/>
              <w:bottom w:val="single" w:sz="8" w:space="0" w:color="auto"/>
              <w:right w:val="single" w:sz="8" w:space="0" w:color="auto"/>
            </w:tcBorders>
            <w:vAlign w:val="center"/>
          </w:tcPr>
          <w:p w14:paraId="00AE2DC1" w14:textId="53A5BF4E" w:rsidR="47F8157E" w:rsidRPr="00B82BF7" w:rsidRDefault="47F8157E" w:rsidP="00B82BF7">
            <w:pPr>
              <w:jc w:val="center"/>
              <w:rPr>
                <w:rFonts w:ascii="Verdana" w:eastAsia="Verdana" w:hAnsi="Verdana" w:cs="Verdana"/>
                <w:sz w:val="20"/>
                <w:lang w:val="nl"/>
              </w:rPr>
            </w:pPr>
            <w:r w:rsidRPr="00B82BF7">
              <w:rPr>
                <w:rFonts w:ascii="Verdana" w:eastAsia="Verdana" w:hAnsi="Verdana" w:cs="Verdana"/>
                <w:sz w:val="20"/>
                <w:lang w:val="nl"/>
              </w:rPr>
              <w:t>1323</w:t>
            </w:r>
          </w:p>
        </w:tc>
        <w:tc>
          <w:tcPr>
            <w:tcW w:w="960" w:type="dxa"/>
            <w:tcBorders>
              <w:top w:val="single" w:sz="8" w:space="0" w:color="auto"/>
              <w:left w:val="single" w:sz="8" w:space="0" w:color="auto"/>
              <w:bottom w:val="single" w:sz="8" w:space="0" w:color="auto"/>
              <w:right w:val="single" w:sz="8" w:space="0" w:color="auto"/>
            </w:tcBorders>
            <w:vAlign w:val="center"/>
          </w:tcPr>
          <w:p w14:paraId="0BAD50E0" w14:textId="4D71B5A8" w:rsidR="47F8157E" w:rsidRPr="00B82BF7" w:rsidRDefault="47F8157E" w:rsidP="00B82BF7">
            <w:pPr>
              <w:jc w:val="center"/>
              <w:rPr>
                <w:rFonts w:ascii="Verdana" w:eastAsia="Verdana" w:hAnsi="Verdana" w:cs="Verdana"/>
                <w:sz w:val="20"/>
                <w:lang w:val="nl"/>
              </w:rPr>
            </w:pPr>
            <w:r w:rsidRPr="00B82BF7">
              <w:rPr>
                <w:rFonts w:ascii="Verdana" w:eastAsia="Verdana" w:hAnsi="Verdana" w:cs="Verdana"/>
                <w:sz w:val="20"/>
                <w:lang w:val="nl"/>
              </w:rPr>
              <w:t>631</w:t>
            </w:r>
          </w:p>
        </w:tc>
        <w:tc>
          <w:tcPr>
            <w:tcW w:w="960" w:type="dxa"/>
            <w:tcBorders>
              <w:top w:val="single" w:sz="8" w:space="0" w:color="auto"/>
              <w:left w:val="single" w:sz="8" w:space="0" w:color="auto"/>
              <w:bottom w:val="single" w:sz="8" w:space="0" w:color="auto"/>
              <w:right w:val="single" w:sz="8" w:space="0" w:color="auto"/>
            </w:tcBorders>
            <w:vAlign w:val="center"/>
          </w:tcPr>
          <w:p w14:paraId="58FBF2E9" w14:textId="1E00858B" w:rsidR="47F8157E" w:rsidRPr="00B82BF7" w:rsidRDefault="47F8157E" w:rsidP="00B82BF7">
            <w:pPr>
              <w:jc w:val="center"/>
              <w:rPr>
                <w:rFonts w:ascii="Verdana" w:eastAsia="Verdana" w:hAnsi="Verdana" w:cs="Verdana"/>
                <w:sz w:val="20"/>
                <w:lang w:val="nl"/>
              </w:rPr>
            </w:pPr>
            <w:r w:rsidRPr="00B82BF7">
              <w:rPr>
                <w:rFonts w:ascii="Verdana" w:eastAsia="Verdana" w:hAnsi="Verdana" w:cs="Verdana"/>
                <w:sz w:val="20"/>
                <w:lang w:val="nl"/>
              </w:rPr>
              <w:t>2149</w:t>
            </w:r>
          </w:p>
        </w:tc>
      </w:tr>
      <w:tr w:rsidR="47F8157E" w:rsidRPr="00B82BF7" w14:paraId="4D6ECF9F" w14:textId="77777777" w:rsidTr="47F8157E">
        <w:trPr>
          <w:trHeight w:val="285"/>
        </w:trPr>
        <w:tc>
          <w:tcPr>
            <w:tcW w:w="4320" w:type="dxa"/>
            <w:tcBorders>
              <w:top w:val="single" w:sz="8" w:space="0" w:color="auto"/>
              <w:left w:val="single" w:sz="8" w:space="0" w:color="auto"/>
              <w:bottom w:val="single" w:sz="8" w:space="0" w:color="auto"/>
              <w:right w:val="single" w:sz="8" w:space="0" w:color="auto"/>
            </w:tcBorders>
            <w:vAlign w:val="center"/>
          </w:tcPr>
          <w:p w14:paraId="3D88A164" w14:textId="4ABB5F6A" w:rsidR="47F8157E" w:rsidRPr="00B82BF7" w:rsidRDefault="47F8157E" w:rsidP="00B82BF7">
            <w:pPr>
              <w:jc w:val="both"/>
              <w:rPr>
                <w:rFonts w:ascii="Verdana" w:eastAsia="Verdana" w:hAnsi="Verdana" w:cs="Verdana"/>
                <w:b/>
                <w:bCs/>
                <w:sz w:val="20"/>
                <w:lang w:val="nl"/>
              </w:rPr>
            </w:pPr>
            <w:r w:rsidRPr="00B82BF7">
              <w:rPr>
                <w:rFonts w:ascii="Verdana" w:eastAsia="Verdana" w:hAnsi="Verdana" w:cs="Verdana"/>
                <w:b/>
                <w:bCs/>
                <w:sz w:val="20"/>
                <w:lang w:val="nl"/>
              </w:rPr>
              <w:t>VVM</w:t>
            </w:r>
          </w:p>
        </w:tc>
        <w:tc>
          <w:tcPr>
            <w:tcW w:w="960" w:type="dxa"/>
            <w:tcBorders>
              <w:top w:val="single" w:sz="8" w:space="0" w:color="auto"/>
              <w:left w:val="single" w:sz="8" w:space="0" w:color="auto"/>
              <w:bottom w:val="single" w:sz="8" w:space="0" w:color="auto"/>
              <w:right w:val="single" w:sz="8" w:space="0" w:color="auto"/>
            </w:tcBorders>
            <w:vAlign w:val="center"/>
          </w:tcPr>
          <w:p w14:paraId="4311BB6D" w14:textId="539A2AA6"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2450</w:t>
            </w:r>
          </w:p>
        </w:tc>
        <w:tc>
          <w:tcPr>
            <w:tcW w:w="960" w:type="dxa"/>
            <w:tcBorders>
              <w:top w:val="single" w:sz="8" w:space="0" w:color="auto"/>
              <w:left w:val="single" w:sz="8" w:space="0" w:color="auto"/>
              <w:bottom w:val="single" w:sz="8" w:space="0" w:color="auto"/>
              <w:right w:val="single" w:sz="8" w:space="0" w:color="auto"/>
            </w:tcBorders>
            <w:vAlign w:val="center"/>
          </w:tcPr>
          <w:p w14:paraId="7EBDFBE8" w14:textId="52566866"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2895</w:t>
            </w:r>
          </w:p>
        </w:tc>
        <w:tc>
          <w:tcPr>
            <w:tcW w:w="960" w:type="dxa"/>
            <w:tcBorders>
              <w:top w:val="single" w:sz="8" w:space="0" w:color="auto"/>
              <w:left w:val="single" w:sz="8" w:space="0" w:color="auto"/>
              <w:bottom w:val="single" w:sz="8" w:space="0" w:color="auto"/>
              <w:right w:val="single" w:sz="8" w:space="0" w:color="auto"/>
            </w:tcBorders>
            <w:vAlign w:val="center"/>
          </w:tcPr>
          <w:p w14:paraId="6FEA7996" w14:textId="19A1E50A"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3605</w:t>
            </w:r>
          </w:p>
        </w:tc>
      </w:tr>
    </w:tbl>
    <w:p w14:paraId="2FBCAD60" w14:textId="2E0D5C81" w:rsidR="00060F25" w:rsidRPr="00B82BF7" w:rsidRDefault="00060F25" w:rsidP="00B82BF7">
      <w:pPr>
        <w:jc w:val="both"/>
        <w:rPr>
          <w:rFonts w:ascii="Verdana" w:hAnsi="Verdana"/>
          <w:sz w:val="20"/>
          <w:lang w:val="en-US"/>
        </w:rPr>
      </w:pPr>
    </w:p>
    <w:p w14:paraId="3B992ADC" w14:textId="77777777" w:rsidR="00B82BF7" w:rsidRDefault="00B82BF7">
      <w:r>
        <w:br w:type="page"/>
      </w:r>
    </w:p>
    <w:tbl>
      <w:tblPr>
        <w:tblW w:w="0" w:type="auto"/>
        <w:tblLayout w:type="fixed"/>
        <w:tblLook w:val="04A0" w:firstRow="1" w:lastRow="0" w:firstColumn="1" w:lastColumn="0" w:noHBand="0" w:noVBand="1"/>
      </w:tblPr>
      <w:tblGrid>
        <w:gridCol w:w="4425"/>
        <w:gridCol w:w="1245"/>
        <w:gridCol w:w="1245"/>
        <w:gridCol w:w="1245"/>
      </w:tblGrid>
      <w:tr w:rsidR="47F8157E" w:rsidRPr="00B82BF7" w14:paraId="3660B49B" w14:textId="77777777" w:rsidTr="47F8157E">
        <w:trPr>
          <w:trHeight w:val="870"/>
        </w:trPr>
        <w:tc>
          <w:tcPr>
            <w:tcW w:w="442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32EB0BE" w14:textId="19D28085"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lastRenderedPageBreak/>
              <w:t>Arbeidkostprijs van werkonbekwaamheid  chauffeurs De Lijn n.a.v. agressiegerelateerde arbeidsongevallen (in €)</w:t>
            </w:r>
          </w:p>
        </w:tc>
        <w:tc>
          <w:tcPr>
            <w:tcW w:w="1245" w:type="dxa"/>
            <w:tcBorders>
              <w:top w:val="single" w:sz="8" w:space="0" w:color="auto"/>
              <w:left w:val="single" w:sz="8" w:space="0" w:color="auto"/>
              <w:bottom w:val="single" w:sz="8" w:space="0" w:color="auto"/>
              <w:right w:val="single" w:sz="8" w:space="0" w:color="auto"/>
            </w:tcBorders>
            <w:shd w:val="clear" w:color="auto" w:fill="CCCCCC"/>
            <w:vAlign w:val="center"/>
          </w:tcPr>
          <w:p w14:paraId="66465628" w14:textId="57A70F5B"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2018</w:t>
            </w:r>
          </w:p>
        </w:tc>
        <w:tc>
          <w:tcPr>
            <w:tcW w:w="1245" w:type="dxa"/>
            <w:tcBorders>
              <w:top w:val="single" w:sz="8" w:space="0" w:color="auto"/>
              <w:left w:val="single" w:sz="8" w:space="0" w:color="auto"/>
              <w:bottom w:val="single" w:sz="8" w:space="0" w:color="auto"/>
              <w:right w:val="single" w:sz="8" w:space="0" w:color="auto"/>
            </w:tcBorders>
            <w:shd w:val="clear" w:color="auto" w:fill="CCCCCC"/>
            <w:vAlign w:val="center"/>
          </w:tcPr>
          <w:p w14:paraId="0DE2300D" w14:textId="3FA33F6E"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2019</w:t>
            </w:r>
          </w:p>
        </w:tc>
        <w:tc>
          <w:tcPr>
            <w:tcW w:w="1245" w:type="dxa"/>
            <w:tcBorders>
              <w:top w:val="single" w:sz="8" w:space="0" w:color="auto"/>
              <w:left w:val="single" w:sz="8" w:space="0" w:color="auto"/>
              <w:bottom w:val="single" w:sz="8" w:space="0" w:color="auto"/>
              <w:right w:val="single" w:sz="8" w:space="0" w:color="auto"/>
            </w:tcBorders>
            <w:shd w:val="clear" w:color="auto" w:fill="CCCCCC"/>
            <w:vAlign w:val="center"/>
          </w:tcPr>
          <w:p w14:paraId="0368C408" w14:textId="7B8D7C5E" w:rsidR="47F8157E" w:rsidRPr="00B82BF7" w:rsidRDefault="47F8157E" w:rsidP="00B82BF7">
            <w:pPr>
              <w:jc w:val="center"/>
              <w:rPr>
                <w:rFonts w:ascii="Verdana" w:eastAsia="Verdana" w:hAnsi="Verdana" w:cs="Verdana"/>
                <w:b/>
                <w:bCs/>
                <w:sz w:val="20"/>
                <w:lang w:val="nl"/>
              </w:rPr>
            </w:pPr>
            <w:r w:rsidRPr="00B82BF7">
              <w:rPr>
                <w:rFonts w:ascii="Verdana" w:eastAsia="Verdana" w:hAnsi="Verdana" w:cs="Verdana"/>
                <w:b/>
                <w:bCs/>
                <w:sz w:val="20"/>
                <w:lang w:val="nl"/>
              </w:rPr>
              <w:t>2020</w:t>
            </w:r>
          </w:p>
        </w:tc>
      </w:tr>
      <w:tr w:rsidR="47F8157E" w:rsidRPr="00B82BF7" w14:paraId="14EA4B2B" w14:textId="77777777" w:rsidTr="47F8157E">
        <w:trPr>
          <w:trHeight w:val="285"/>
        </w:trPr>
        <w:tc>
          <w:tcPr>
            <w:tcW w:w="4425" w:type="dxa"/>
            <w:tcBorders>
              <w:top w:val="single" w:sz="8" w:space="0" w:color="auto"/>
              <w:left w:val="single" w:sz="8" w:space="0" w:color="auto"/>
              <w:bottom w:val="single" w:sz="8" w:space="0" w:color="auto"/>
              <w:right w:val="single" w:sz="8" w:space="0" w:color="auto"/>
            </w:tcBorders>
            <w:vAlign w:val="center"/>
          </w:tcPr>
          <w:p w14:paraId="7CF123A1" w14:textId="5B7FFD1A" w:rsidR="47F8157E" w:rsidRPr="00B82BF7" w:rsidRDefault="47F8157E" w:rsidP="00B82BF7">
            <w:pPr>
              <w:jc w:val="right"/>
              <w:rPr>
                <w:rFonts w:ascii="Verdana" w:eastAsia="Verdana" w:hAnsi="Verdana" w:cs="Verdana"/>
                <w:sz w:val="20"/>
                <w:lang w:val="nl"/>
              </w:rPr>
            </w:pPr>
            <w:r w:rsidRPr="00B82BF7">
              <w:rPr>
                <w:rFonts w:ascii="Verdana" w:eastAsia="Verdana" w:hAnsi="Verdana" w:cs="Verdana"/>
                <w:sz w:val="20"/>
                <w:lang w:val="nl"/>
              </w:rPr>
              <w:t>Zone Oost</w:t>
            </w:r>
          </w:p>
        </w:tc>
        <w:tc>
          <w:tcPr>
            <w:tcW w:w="1245" w:type="dxa"/>
            <w:tcBorders>
              <w:top w:val="single" w:sz="8" w:space="0" w:color="auto"/>
              <w:left w:val="single" w:sz="8" w:space="0" w:color="auto"/>
              <w:bottom w:val="single" w:sz="8" w:space="0" w:color="auto"/>
              <w:right w:val="single" w:sz="8" w:space="0" w:color="auto"/>
            </w:tcBorders>
            <w:vAlign w:val="bottom"/>
          </w:tcPr>
          <w:p w14:paraId="6414D9DB" w14:textId="453F009C"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 xml:space="preserve">   96.687,47 </w:t>
            </w:r>
          </w:p>
        </w:tc>
        <w:tc>
          <w:tcPr>
            <w:tcW w:w="1245" w:type="dxa"/>
            <w:tcBorders>
              <w:top w:val="single" w:sz="8" w:space="0" w:color="auto"/>
              <w:left w:val="single" w:sz="8" w:space="0" w:color="auto"/>
              <w:bottom w:val="single" w:sz="8" w:space="0" w:color="auto"/>
              <w:right w:val="single" w:sz="8" w:space="0" w:color="auto"/>
            </w:tcBorders>
            <w:vAlign w:val="bottom"/>
          </w:tcPr>
          <w:p w14:paraId="051F84F3" w14:textId="2A213778"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 xml:space="preserve"> 186.072,78 </w:t>
            </w:r>
          </w:p>
        </w:tc>
        <w:tc>
          <w:tcPr>
            <w:tcW w:w="1245" w:type="dxa"/>
            <w:tcBorders>
              <w:top w:val="single" w:sz="8" w:space="0" w:color="auto"/>
              <w:left w:val="single" w:sz="8" w:space="0" w:color="auto"/>
              <w:bottom w:val="single" w:sz="8" w:space="0" w:color="auto"/>
              <w:right w:val="single" w:sz="8" w:space="0" w:color="auto"/>
            </w:tcBorders>
            <w:vAlign w:val="bottom"/>
          </w:tcPr>
          <w:p w14:paraId="659D4080" w14:textId="6A7E8038"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 xml:space="preserve"> 109.128,42 </w:t>
            </w:r>
          </w:p>
        </w:tc>
      </w:tr>
      <w:tr w:rsidR="47F8157E" w:rsidRPr="00B82BF7" w14:paraId="364F082A" w14:textId="77777777" w:rsidTr="47F8157E">
        <w:trPr>
          <w:trHeight w:val="285"/>
        </w:trPr>
        <w:tc>
          <w:tcPr>
            <w:tcW w:w="4425" w:type="dxa"/>
            <w:tcBorders>
              <w:top w:val="single" w:sz="8" w:space="0" w:color="auto"/>
              <w:left w:val="single" w:sz="8" w:space="0" w:color="auto"/>
              <w:bottom w:val="single" w:sz="8" w:space="0" w:color="auto"/>
              <w:right w:val="single" w:sz="8" w:space="0" w:color="auto"/>
            </w:tcBorders>
            <w:vAlign w:val="center"/>
          </w:tcPr>
          <w:p w14:paraId="5EDF3CFD" w14:textId="33A38C8C" w:rsidR="47F8157E" w:rsidRPr="00B82BF7" w:rsidRDefault="47F8157E" w:rsidP="00B82BF7">
            <w:pPr>
              <w:jc w:val="right"/>
              <w:rPr>
                <w:rFonts w:ascii="Verdana" w:eastAsia="Verdana" w:hAnsi="Verdana" w:cs="Verdana"/>
                <w:sz w:val="20"/>
                <w:lang w:val="nl"/>
              </w:rPr>
            </w:pPr>
            <w:r w:rsidRPr="00B82BF7">
              <w:rPr>
                <w:rFonts w:ascii="Verdana" w:eastAsia="Verdana" w:hAnsi="Verdana" w:cs="Verdana"/>
                <w:sz w:val="20"/>
                <w:lang w:val="nl"/>
              </w:rPr>
              <w:t>Zone West</w:t>
            </w:r>
          </w:p>
        </w:tc>
        <w:tc>
          <w:tcPr>
            <w:tcW w:w="1245" w:type="dxa"/>
            <w:tcBorders>
              <w:top w:val="single" w:sz="8" w:space="0" w:color="auto"/>
              <w:left w:val="single" w:sz="8" w:space="0" w:color="auto"/>
              <w:bottom w:val="single" w:sz="8" w:space="0" w:color="auto"/>
              <w:right w:val="single" w:sz="8" w:space="0" w:color="auto"/>
            </w:tcBorders>
            <w:vAlign w:val="bottom"/>
          </w:tcPr>
          <w:p w14:paraId="2EFDC939" w14:textId="72B32B62"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 xml:space="preserve">132.360,37 </w:t>
            </w:r>
          </w:p>
        </w:tc>
        <w:tc>
          <w:tcPr>
            <w:tcW w:w="1245" w:type="dxa"/>
            <w:tcBorders>
              <w:top w:val="single" w:sz="8" w:space="0" w:color="auto"/>
              <w:left w:val="single" w:sz="8" w:space="0" w:color="auto"/>
              <w:bottom w:val="single" w:sz="8" w:space="0" w:color="auto"/>
              <w:right w:val="single" w:sz="8" w:space="0" w:color="auto"/>
            </w:tcBorders>
            <w:vAlign w:val="bottom"/>
          </w:tcPr>
          <w:p w14:paraId="566A5B00" w14:textId="69D213F5"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 xml:space="preserve">   79.506,58 </w:t>
            </w:r>
          </w:p>
        </w:tc>
        <w:tc>
          <w:tcPr>
            <w:tcW w:w="1245" w:type="dxa"/>
            <w:tcBorders>
              <w:top w:val="single" w:sz="8" w:space="0" w:color="auto"/>
              <w:left w:val="single" w:sz="8" w:space="0" w:color="auto"/>
              <w:bottom w:val="single" w:sz="8" w:space="0" w:color="auto"/>
              <w:right w:val="single" w:sz="8" w:space="0" w:color="auto"/>
            </w:tcBorders>
            <w:vAlign w:val="bottom"/>
          </w:tcPr>
          <w:p w14:paraId="59298C6E" w14:textId="01DD08DE"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 xml:space="preserve"> 122.350,88 </w:t>
            </w:r>
          </w:p>
        </w:tc>
      </w:tr>
      <w:tr w:rsidR="47F8157E" w:rsidRPr="00B82BF7" w14:paraId="09238357" w14:textId="77777777" w:rsidTr="47F8157E">
        <w:trPr>
          <w:trHeight w:val="285"/>
        </w:trPr>
        <w:tc>
          <w:tcPr>
            <w:tcW w:w="4425" w:type="dxa"/>
            <w:tcBorders>
              <w:top w:val="single" w:sz="8" w:space="0" w:color="auto"/>
              <w:left w:val="single" w:sz="8" w:space="0" w:color="auto"/>
              <w:bottom w:val="single" w:sz="8" w:space="0" w:color="auto"/>
              <w:right w:val="single" w:sz="8" w:space="0" w:color="auto"/>
            </w:tcBorders>
            <w:vAlign w:val="center"/>
          </w:tcPr>
          <w:p w14:paraId="330C822F" w14:textId="682B0C23" w:rsidR="47F8157E" w:rsidRPr="00B82BF7" w:rsidRDefault="47F8157E" w:rsidP="00B82BF7">
            <w:pPr>
              <w:jc w:val="both"/>
              <w:rPr>
                <w:rFonts w:ascii="Verdana" w:eastAsia="Verdana" w:hAnsi="Verdana" w:cs="Verdana"/>
                <w:b/>
                <w:bCs/>
                <w:sz w:val="20"/>
                <w:lang w:val="nl"/>
              </w:rPr>
            </w:pPr>
            <w:r w:rsidRPr="00B82BF7">
              <w:rPr>
                <w:rFonts w:ascii="Verdana" w:eastAsia="Verdana" w:hAnsi="Verdana" w:cs="Verdana"/>
                <w:b/>
                <w:bCs/>
                <w:sz w:val="20"/>
                <w:lang w:val="nl"/>
              </w:rPr>
              <w:t>VVM</w:t>
            </w:r>
          </w:p>
        </w:tc>
        <w:tc>
          <w:tcPr>
            <w:tcW w:w="1245" w:type="dxa"/>
            <w:tcBorders>
              <w:top w:val="single" w:sz="8" w:space="0" w:color="auto"/>
              <w:left w:val="single" w:sz="8" w:space="0" w:color="auto"/>
              <w:bottom w:val="single" w:sz="8" w:space="0" w:color="auto"/>
              <w:right w:val="single" w:sz="8" w:space="0" w:color="auto"/>
            </w:tcBorders>
            <w:vAlign w:val="bottom"/>
          </w:tcPr>
          <w:p w14:paraId="7B4B72DA" w14:textId="1B0EA58C" w:rsidR="47F8157E" w:rsidRPr="00B82BF7" w:rsidRDefault="47F8157E" w:rsidP="00B82BF7">
            <w:pPr>
              <w:jc w:val="both"/>
              <w:rPr>
                <w:rFonts w:ascii="Verdana" w:eastAsia="Verdana" w:hAnsi="Verdana" w:cs="Verdana"/>
                <w:b/>
                <w:bCs/>
                <w:sz w:val="20"/>
                <w:lang w:val="nl"/>
              </w:rPr>
            </w:pPr>
            <w:r w:rsidRPr="00B82BF7">
              <w:rPr>
                <w:rFonts w:ascii="Verdana" w:eastAsia="Verdana" w:hAnsi="Verdana" w:cs="Verdana"/>
                <w:b/>
                <w:bCs/>
                <w:sz w:val="20"/>
                <w:lang w:val="nl"/>
              </w:rPr>
              <w:t xml:space="preserve">229.047,84 </w:t>
            </w:r>
          </w:p>
        </w:tc>
        <w:tc>
          <w:tcPr>
            <w:tcW w:w="1245" w:type="dxa"/>
            <w:tcBorders>
              <w:top w:val="single" w:sz="8" w:space="0" w:color="auto"/>
              <w:left w:val="single" w:sz="8" w:space="0" w:color="auto"/>
              <w:bottom w:val="single" w:sz="8" w:space="0" w:color="auto"/>
              <w:right w:val="single" w:sz="8" w:space="0" w:color="auto"/>
            </w:tcBorders>
            <w:vAlign w:val="bottom"/>
          </w:tcPr>
          <w:p w14:paraId="6F27A0DE" w14:textId="0548DD63" w:rsidR="47F8157E" w:rsidRPr="00B82BF7" w:rsidRDefault="47F8157E" w:rsidP="00B82BF7">
            <w:pPr>
              <w:jc w:val="both"/>
              <w:rPr>
                <w:rFonts w:ascii="Verdana" w:eastAsia="Verdana" w:hAnsi="Verdana" w:cs="Verdana"/>
                <w:b/>
                <w:bCs/>
                <w:sz w:val="20"/>
                <w:lang w:val="nl"/>
              </w:rPr>
            </w:pPr>
            <w:r w:rsidRPr="00B82BF7">
              <w:rPr>
                <w:rFonts w:ascii="Verdana" w:eastAsia="Verdana" w:hAnsi="Verdana" w:cs="Verdana"/>
                <w:b/>
                <w:bCs/>
                <w:sz w:val="20"/>
                <w:lang w:val="nl"/>
              </w:rPr>
              <w:t xml:space="preserve"> 265.579,36 </w:t>
            </w:r>
          </w:p>
        </w:tc>
        <w:tc>
          <w:tcPr>
            <w:tcW w:w="1245" w:type="dxa"/>
            <w:tcBorders>
              <w:top w:val="single" w:sz="8" w:space="0" w:color="auto"/>
              <w:left w:val="single" w:sz="8" w:space="0" w:color="auto"/>
              <w:bottom w:val="single" w:sz="8" w:space="0" w:color="auto"/>
              <w:right w:val="single" w:sz="8" w:space="0" w:color="auto"/>
            </w:tcBorders>
            <w:vAlign w:val="bottom"/>
          </w:tcPr>
          <w:p w14:paraId="3C9F2F04" w14:textId="05FC4C1D" w:rsidR="47F8157E" w:rsidRPr="00B82BF7" w:rsidRDefault="47F8157E" w:rsidP="00B82BF7">
            <w:pPr>
              <w:jc w:val="both"/>
              <w:rPr>
                <w:rFonts w:ascii="Verdana" w:eastAsia="Verdana" w:hAnsi="Verdana" w:cs="Verdana"/>
                <w:b/>
                <w:bCs/>
                <w:sz w:val="20"/>
                <w:lang w:val="nl"/>
              </w:rPr>
            </w:pPr>
            <w:r w:rsidRPr="00B82BF7">
              <w:rPr>
                <w:rFonts w:ascii="Verdana" w:eastAsia="Verdana" w:hAnsi="Verdana" w:cs="Verdana"/>
                <w:b/>
                <w:bCs/>
                <w:sz w:val="20"/>
                <w:lang w:val="nl"/>
              </w:rPr>
              <w:t xml:space="preserve"> 231.479,30 </w:t>
            </w:r>
          </w:p>
        </w:tc>
      </w:tr>
    </w:tbl>
    <w:p w14:paraId="763B5DC2" w14:textId="5DD65CEB" w:rsidR="00060F25" w:rsidRPr="00B82BF7" w:rsidRDefault="46B04BD4" w:rsidP="00B82BF7">
      <w:pPr>
        <w:jc w:val="both"/>
        <w:rPr>
          <w:rFonts w:ascii="Verdana" w:hAnsi="Verdana"/>
          <w:sz w:val="20"/>
          <w:lang w:val="en-US"/>
        </w:rPr>
      </w:pPr>
      <w:r w:rsidRPr="00B82BF7">
        <w:rPr>
          <w:rFonts w:ascii="Verdana" w:eastAsia="Verdana" w:hAnsi="Verdana" w:cs="Verdana"/>
          <w:sz w:val="20"/>
          <w:lang w:val="en-US"/>
        </w:rPr>
        <w:t xml:space="preserve"> </w:t>
      </w:r>
    </w:p>
    <w:p w14:paraId="16A72D6B" w14:textId="7E0E0AC4" w:rsidR="00060F25" w:rsidRPr="00B82BF7" w:rsidRDefault="00060F25" w:rsidP="00B82BF7">
      <w:pPr>
        <w:pStyle w:val="Lijstalinea"/>
        <w:numPr>
          <w:ilvl w:val="0"/>
          <w:numId w:val="9"/>
        </w:numPr>
        <w:rPr>
          <w:rFonts w:ascii="Verdana" w:hAnsi="Verdana"/>
          <w:sz w:val="20"/>
          <w:szCs w:val="20"/>
          <w:lang w:val="en-US"/>
        </w:rPr>
      </w:pPr>
      <w:r w:rsidRPr="00B82BF7">
        <w:rPr>
          <w:rFonts w:ascii="Verdana" w:hAnsi="Verdana"/>
          <w:sz w:val="20"/>
          <w:szCs w:val="20"/>
        </w:rPr>
        <w:br/>
      </w:r>
      <w:r w:rsidR="46B04BD4" w:rsidRPr="00B82BF7">
        <w:rPr>
          <w:rFonts w:ascii="Verdana" w:hAnsi="Verdana"/>
          <w:noProof/>
          <w:sz w:val="20"/>
          <w:szCs w:val="20"/>
        </w:rPr>
        <w:drawing>
          <wp:inline distT="0" distB="0" distL="0" distR="0" wp14:anchorId="6CFFD964" wp14:editId="6CC4D75A">
            <wp:extent cx="5391152" cy="733425"/>
            <wp:effectExtent l="0" t="0" r="0" b="0"/>
            <wp:docPr id="898576628" name="Afbeelding 898576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91152" cy="733425"/>
                    </a:xfrm>
                    <a:prstGeom prst="rect">
                      <a:avLst/>
                    </a:prstGeom>
                  </pic:spPr>
                </pic:pic>
              </a:graphicData>
            </a:graphic>
          </wp:inline>
        </w:drawing>
      </w:r>
      <w:r w:rsidR="46B04BD4" w:rsidRPr="00B82BF7">
        <w:rPr>
          <w:rFonts w:ascii="Verdana" w:eastAsia="Verdana" w:hAnsi="Verdana" w:cs="Verdana"/>
          <w:sz w:val="20"/>
          <w:szCs w:val="20"/>
          <w:lang w:val="en-US"/>
        </w:rPr>
        <w:t xml:space="preserve"> </w:t>
      </w:r>
    </w:p>
    <w:p w14:paraId="7BC00107" w14:textId="77777777" w:rsidR="00B82BF7" w:rsidRPr="00B82BF7" w:rsidRDefault="00B82BF7" w:rsidP="00B82BF7">
      <w:pPr>
        <w:pStyle w:val="Lijstalinea"/>
        <w:ind w:left="360"/>
        <w:rPr>
          <w:rFonts w:ascii="Verdana" w:hAnsi="Verdana"/>
          <w:sz w:val="20"/>
          <w:szCs w:val="20"/>
          <w:lang w:val="en-US"/>
        </w:rPr>
      </w:pPr>
    </w:p>
    <w:p w14:paraId="66DA59F0" w14:textId="6F7278C9" w:rsidR="00060F25" w:rsidRPr="00B82BF7" w:rsidRDefault="46B04BD4" w:rsidP="00B82BF7">
      <w:pPr>
        <w:pStyle w:val="Lijstalinea"/>
        <w:numPr>
          <w:ilvl w:val="0"/>
          <w:numId w:val="9"/>
        </w:numPr>
        <w:jc w:val="both"/>
        <w:rPr>
          <w:rFonts w:ascii="Verdana" w:eastAsia="Verdana" w:hAnsi="Verdana" w:cs="Verdana"/>
          <w:color w:val="000000" w:themeColor="text1"/>
          <w:sz w:val="20"/>
          <w:szCs w:val="20"/>
          <w:lang w:val="en-US"/>
        </w:rPr>
      </w:pPr>
      <w:r w:rsidRPr="00B82BF7">
        <w:rPr>
          <w:rFonts w:ascii="Verdana" w:eastAsia="Verdana" w:hAnsi="Verdana" w:cs="Verdana"/>
          <w:sz w:val="20"/>
          <w:szCs w:val="20"/>
          <w:lang w:val="en-US"/>
        </w:rPr>
        <w:t xml:space="preserve"> </w:t>
      </w:r>
    </w:p>
    <w:tbl>
      <w:tblPr>
        <w:tblW w:w="0" w:type="auto"/>
        <w:tblLayout w:type="fixed"/>
        <w:tblLook w:val="04A0" w:firstRow="1" w:lastRow="0" w:firstColumn="1" w:lastColumn="0" w:noHBand="0" w:noVBand="1"/>
      </w:tblPr>
      <w:tblGrid>
        <w:gridCol w:w="4462"/>
        <w:gridCol w:w="4462"/>
      </w:tblGrid>
      <w:tr w:rsidR="47F8157E" w:rsidRPr="00B82BF7" w14:paraId="7C9FFF48" w14:textId="77777777" w:rsidTr="47F8157E">
        <w:tc>
          <w:tcPr>
            <w:tcW w:w="4462" w:type="dxa"/>
            <w:tcBorders>
              <w:top w:val="single" w:sz="8" w:space="0" w:color="auto"/>
              <w:left w:val="single" w:sz="8" w:space="0" w:color="auto"/>
              <w:bottom w:val="single" w:sz="8" w:space="0" w:color="auto"/>
              <w:right w:val="single" w:sz="8" w:space="0" w:color="auto"/>
            </w:tcBorders>
          </w:tcPr>
          <w:p w14:paraId="53D2AA22" w14:textId="0DAFEA16"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Jaar</w:t>
            </w:r>
          </w:p>
        </w:tc>
        <w:tc>
          <w:tcPr>
            <w:tcW w:w="4462" w:type="dxa"/>
            <w:tcBorders>
              <w:top w:val="single" w:sz="8" w:space="0" w:color="auto"/>
              <w:left w:val="single" w:sz="8" w:space="0" w:color="auto"/>
              <w:bottom w:val="single" w:sz="8" w:space="0" w:color="auto"/>
              <w:right w:val="single" w:sz="8" w:space="0" w:color="auto"/>
            </w:tcBorders>
          </w:tcPr>
          <w:p w14:paraId="42781B94" w14:textId="715CDBEF"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Aantal reizigers*</w:t>
            </w:r>
          </w:p>
        </w:tc>
      </w:tr>
      <w:tr w:rsidR="47F8157E" w:rsidRPr="00B82BF7" w14:paraId="13D7D901" w14:textId="77777777" w:rsidTr="47F8157E">
        <w:tc>
          <w:tcPr>
            <w:tcW w:w="4462" w:type="dxa"/>
            <w:tcBorders>
              <w:top w:val="single" w:sz="8" w:space="0" w:color="auto"/>
              <w:left w:val="single" w:sz="8" w:space="0" w:color="auto"/>
              <w:bottom w:val="single" w:sz="8" w:space="0" w:color="auto"/>
              <w:right w:val="single" w:sz="8" w:space="0" w:color="auto"/>
            </w:tcBorders>
          </w:tcPr>
          <w:p w14:paraId="17489690" w14:textId="23CAE370"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2019</w:t>
            </w:r>
          </w:p>
        </w:tc>
        <w:tc>
          <w:tcPr>
            <w:tcW w:w="4462" w:type="dxa"/>
            <w:tcBorders>
              <w:top w:val="single" w:sz="8" w:space="0" w:color="auto"/>
              <w:left w:val="single" w:sz="8" w:space="0" w:color="auto"/>
              <w:bottom w:val="single" w:sz="8" w:space="0" w:color="auto"/>
              <w:right w:val="single" w:sz="8" w:space="0" w:color="auto"/>
            </w:tcBorders>
          </w:tcPr>
          <w:p w14:paraId="6976089B" w14:textId="2B174C0C"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340.651.436</w:t>
            </w:r>
          </w:p>
        </w:tc>
      </w:tr>
      <w:tr w:rsidR="47F8157E" w:rsidRPr="00B82BF7" w14:paraId="29AFB68E" w14:textId="77777777" w:rsidTr="47F8157E">
        <w:tc>
          <w:tcPr>
            <w:tcW w:w="4462" w:type="dxa"/>
            <w:tcBorders>
              <w:top w:val="single" w:sz="8" w:space="0" w:color="auto"/>
              <w:left w:val="single" w:sz="8" w:space="0" w:color="auto"/>
              <w:bottom w:val="single" w:sz="8" w:space="0" w:color="auto"/>
              <w:right w:val="single" w:sz="8" w:space="0" w:color="auto"/>
            </w:tcBorders>
          </w:tcPr>
          <w:p w14:paraId="550B2BBF" w14:textId="7CE98DFC"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2020</w:t>
            </w:r>
          </w:p>
        </w:tc>
        <w:tc>
          <w:tcPr>
            <w:tcW w:w="4462" w:type="dxa"/>
            <w:tcBorders>
              <w:top w:val="single" w:sz="8" w:space="0" w:color="auto"/>
              <w:left w:val="single" w:sz="8" w:space="0" w:color="auto"/>
              <w:bottom w:val="single" w:sz="8" w:space="0" w:color="auto"/>
              <w:right w:val="single" w:sz="8" w:space="0" w:color="auto"/>
            </w:tcBorders>
          </w:tcPr>
          <w:p w14:paraId="2611EC78" w14:textId="7F55C215" w:rsidR="47F8157E" w:rsidRPr="00B82BF7" w:rsidRDefault="47F8157E" w:rsidP="00B82BF7">
            <w:pPr>
              <w:jc w:val="both"/>
              <w:rPr>
                <w:rFonts w:ascii="Verdana" w:eastAsia="Verdana" w:hAnsi="Verdana" w:cs="Verdana"/>
                <w:sz w:val="20"/>
                <w:lang w:val="nl"/>
              </w:rPr>
            </w:pPr>
            <w:r w:rsidRPr="00B82BF7">
              <w:rPr>
                <w:rFonts w:ascii="Verdana" w:eastAsia="Verdana" w:hAnsi="Verdana" w:cs="Verdana"/>
                <w:sz w:val="20"/>
                <w:lang w:val="nl"/>
              </w:rPr>
              <w:t>174.576.408</w:t>
            </w:r>
          </w:p>
        </w:tc>
      </w:tr>
    </w:tbl>
    <w:p w14:paraId="73476D55" w14:textId="4A3544CC" w:rsidR="00060F25" w:rsidRPr="00B82BF7" w:rsidRDefault="46B04BD4" w:rsidP="00B82BF7">
      <w:pPr>
        <w:ind w:left="708"/>
        <w:jc w:val="both"/>
        <w:rPr>
          <w:rFonts w:ascii="Verdana" w:hAnsi="Verdana"/>
          <w:color w:val="FF0000"/>
          <w:sz w:val="18"/>
          <w:szCs w:val="18"/>
        </w:rPr>
      </w:pPr>
      <w:r w:rsidRPr="00B82BF7">
        <w:rPr>
          <w:rFonts w:ascii="Verdana" w:eastAsia="Verdana" w:hAnsi="Verdana" w:cs="Verdana"/>
          <w:sz w:val="18"/>
          <w:szCs w:val="18"/>
        </w:rPr>
        <w:t>*Aantal reizigers:</w:t>
      </w:r>
    </w:p>
    <w:p w14:paraId="15C920FF" w14:textId="35219E86" w:rsidR="00060F25" w:rsidRPr="00B82BF7" w:rsidRDefault="46B04BD4" w:rsidP="00B82BF7">
      <w:pPr>
        <w:ind w:left="708"/>
        <w:jc w:val="both"/>
        <w:rPr>
          <w:rFonts w:ascii="Verdana" w:hAnsi="Verdana"/>
          <w:color w:val="FF0000"/>
          <w:sz w:val="18"/>
          <w:szCs w:val="18"/>
        </w:rPr>
      </w:pPr>
      <w:r w:rsidRPr="00B82BF7">
        <w:rPr>
          <w:rFonts w:ascii="Verdana" w:eastAsia="Verdana" w:hAnsi="Verdana" w:cs="Verdana"/>
          <w:sz w:val="18"/>
          <w:szCs w:val="18"/>
          <w:u w:val="single"/>
        </w:rPr>
        <w:t>reizigers die zich verplaatsen met een MOBIB abonnement</w:t>
      </w:r>
      <w:r w:rsidRPr="00B82BF7">
        <w:rPr>
          <w:rFonts w:ascii="Verdana" w:eastAsia="Verdana" w:hAnsi="Verdana" w:cs="Verdana"/>
          <w:sz w:val="18"/>
          <w:szCs w:val="18"/>
        </w:rPr>
        <w:t>: niet elke opstap wordt gescand door alle abonnees. Daarom worden de gemeten scans opgehoogd op basis van een onderzoek dat het effectieve scangedrag in kaart brengt. Het scangedrag wordt beïnvloed door verschillende factoren zoals bv. het type periode (school vs. vakantie), tijdstip van de dag (spits/dal), regio (stad/streek), … Om evoluties in het scangedrag op te volgen, wordt dit onderzoek op regelmatige basis herhaald.</w:t>
      </w:r>
      <w:r w:rsidR="00B82BF7">
        <w:rPr>
          <w:rFonts w:ascii="Verdana" w:eastAsia="Verdana" w:hAnsi="Verdana" w:cs="Verdana"/>
          <w:sz w:val="18"/>
          <w:szCs w:val="18"/>
        </w:rPr>
        <w:tab/>
      </w:r>
      <w:r w:rsidR="00060F25" w:rsidRPr="00B82BF7">
        <w:rPr>
          <w:rFonts w:ascii="Verdana" w:hAnsi="Verdana"/>
          <w:sz w:val="18"/>
          <w:szCs w:val="18"/>
        </w:rPr>
        <w:br/>
      </w:r>
      <w:r w:rsidRPr="00B82BF7">
        <w:rPr>
          <w:rFonts w:ascii="Verdana" w:eastAsia="Verdana" w:hAnsi="Verdana" w:cs="Verdana"/>
          <w:sz w:val="18"/>
          <w:szCs w:val="18"/>
          <w:u w:val="single"/>
        </w:rPr>
        <w:t xml:space="preserve">Reizigers die zich met een biljet, kaart of </w:t>
      </w:r>
      <w:proofErr w:type="spellStart"/>
      <w:r w:rsidRPr="00B82BF7">
        <w:rPr>
          <w:rFonts w:ascii="Verdana" w:eastAsia="Verdana" w:hAnsi="Verdana" w:cs="Verdana"/>
          <w:sz w:val="18"/>
          <w:szCs w:val="18"/>
          <w:u w:val="single"/>
        </w:rPr>
        <w:t>dagpas</w:t>
      </w:r>
      <w:proofErr w:type="spellEnd"/>
      <w:r w:rsidRPr="00B82BF7">
        <w:rPr>
          <w:rFonts w:ascii="Verdana" w:eastAsia="Verdana" w:hAnsi="Verdana" w:cs="Verdana"/>
          <w:sz w:val="18"/>
          <w:szCs w:val="18"/>
          <w:u w:val="single"/>
        </w:rPr>
        <w:t xml:space="preserve"> verplaatsen worden niet opgehoogd.</w:t>
      </w:r>
      <w:r w:rsidR="00060F25" w:rsidRPr="00B82BF7">
        <w:rPr>
          <w:rFonts w:ascii="Verdana" w:hAnsi="Verdana"/>
          <w:sz w:val="18"/>
          <w:szCs w:val="18"/>
        </w:rPr>
        <w:br/>
      </w:r>
      <w:r w:rsidRPr="00B82BF7">
        <w:rPr>
          <w:rFonts w:ascii="Verdana" w:eastAsia="Verdana" w:hAnsi="Verdana" w:cs="Verdana"/>
          <w:sz w:val="18"/>
          <w:szCs w:val="18"/>
          <w:u w:val="single"/>
        </w:rPr>
        <w:t>Reizigers met een Mobiel vervoerbewijs</w:t>
      </w:r>
      <w:r w:rsidRPr="00B82BF7">
        <w:rPr>
          <w:rFonts w:ascii="Verdana" w:eastAsia="Verdana" w:hAnsi="Verdana" w:cs="Verdana"/>
          <w:sz w:val="18"/>
          <w:szCs w:val="18"/>
        </w:rPr>
        <w:t xml:space="preserve"> (biljet, kaart of </w:t>
      </w:r>
      <w:proofErr w:type="spellStart"/>
      <w:r w:rsidRPr="00B82BF7">
        <w:rPr>
          <w:rFonts w:ascii="Verdana" w:eastAsia="Verdana" w:hAnsi="Verdana" w:cs="Verdana"/>
          <w:sz w:val="18"/>
          <w:szCs w:val="18"/>
        </w:rPr>
        <w:t>dagpas</w:t>
      </w:r>
      <w:proofErr w:type="spellEnd"/>
      <w:r w:rsidRPr="00B82BF7">
        <w:rPr>
          <w:rFonts w:ascii="Verdana" w:eastAsia="Verdana" w:hAnsi="Verdana" w:cs="Verdana"/>
          <w:sz w:val="18"/>
          <w:szCs w:val="18"/>
        </w:rPr>
        <w:t xml:space="preserve">): hiervan is geen lijn en ritcontext gekend. Ze worden toegewezen aan de lijnen volgens het gebruik van de reizigers van de ‘gewone’ biljetten kaarten of </w:t>
      </w:r>
      <w:proofErr w:type="spellStart"/>
      <w:r w:rsidRPr="00B82BF7">
        <w:rPr>
          <w:rFonts w:ascii="Verdana" w:eastAsia="Verdana" w:hAnsi="Verdana" w:cs="Verdana"/>
          <w:sz w:val="18"/>
          <w:szCs w:val="18"/>
        </w:rPr>
        <w:t>dagpassen</w:t>
      </w:r>
      <w:proofErr w:type="spellEnd"/>
      <w:r w:rsidRPr="00B82BF7">
        <w:rPr>
          <w:rFonts w:ascii="Verdana" w:eastAsia="Verdana" w:hAnsi="Verdana" w:cs="Verdana"/>
          <w:sz w:val="18"/>
          <w:szCs w:val="18"/>
        </w:rPr>
        <w:t xml:space="preserve"> en vervolgens opgehoogd op basis van %overstappen gemeten bij dezelfde groep.</w:t>
      </w:r>
    </w:p>
    <w:p w14:paraId="169F9337" w14:textId="14512511" w:rsidR="00060F25" w:rsidRPr="00B82BF7" w:rsidRDefault="00060F25" w:rsidP="00B82BF7">
      <w:pPr>
        <w:jc w:val="both"/>
        <w:rPr>
          <w:rFonts w:ascii="Verdana" w:hAnsi="Verdana"/>
          <w:sz w:val="20"/>
        </w:rPr>
      </w:pPr>
    </w:p>
    <w:p w14:paraId="409550E9" w14:textId="4DF076CF" w:rsidR="00060F25" w:rsidRPr="00B82BF7" w:rsidRDefault="46B04BD4" w:rsidP="00B82BF7">
      <w:pPr>
        <w:ind w:left="360"/>
        <w:jc w:val="both"/>
        <w:rPr>
          <w:rFonts w:ascii="Verdana" w:eastAsia="Verdana" w:hAnsi="Verdana" w:cs="Verdana"/>
          <w:sz w:val="20"/>
        </w:rPr>
      </w:pPr>
      <w:r w:rsidRPr="00B82BF7">
        <w:rPr>
          <w:rFonts w:ascii="Verdana" w:eastAsia="Verdana" w:hAnsi="Verdana" w:cs="Verdana"/>
          <w:sz w:val="20"/>
        </w:rPr>
        <w:t xml:space="preserve">In 2018 was </w:t>
      </w:r>
      <w:proofErr w:type="spellStart"/>
      <w:r w:rsidRPr="00B82BF7">
        <w:rPr>
          <w:rFonts w:ascii="Verdana" w:eastAsia="Verdana" w:hAnsi="Verdana" w:cs="Verdana"/>
          <w:sz w:val="20"/>
        </w:rPr>
        <w:t>Mobib</w:t>
      </w:r>
      <w:proofErr w:type="spellEnd"/>
      <w:r w:rsidRPr="00B82BF7">
        <w:rPr>
          <w:rFonts w:ascii="Verdana" w:eastAsia="Verdana" w:hAnsi="Verdana" w:cs="Verdana"/>
          <w:sz w:val="20"/>
        </w:rPr>
        <w:t xml:space="preserve"> nog niet volledig uitgerold en zijn er geen cijfers beschikbaar.  </w:t>
      </w:r>
    </w:p>
    <w:p w14:paraId="1D0ABB51" w14:textId="77777777" w:rsidR="009A79DE" w:rsidRPr="00B82BF7" w:rsidRDefault="009A79DE" w:rsidP="00B82BF7">
      <w:pPr>
        <w:ind w:left="708"/>
        <w:jc w:val="both"/>
        <w:rPr>
          <w:rFonts w:ascii="Verdana" w:hAnsi="Verdana"/>
          <w:sz w:val="20"/>
        </w:rPr>
      </w:pPr>
    </w:p>
    <w:p w14:paraId="2E9A7DD5" w14:textId="3E61F39C" w:rsidR="00060F25" w:rsidRPr="00B82BF7" w:rsidRDefault="46B04BD4" w:rsidP="00B82BF7">
      <w:pPr>
        <w:pStyle w:val="Lijstalinea"/>
        <w:numPr>
          <w:ilvl w:val="0"/>
          <w:numId w:val="9"/>
        </w:numPr>
        <w:jc w:val="both"/>
        <w:rPr>
          <w:rFonts w:ascii="Verdana" w:eastAsia="Verdana" w:hAnsi="Verdana" w:cs="Verdana"/>
          <w:color w:val="000000" w:themeColor="text1"/>
          <w:sz w:val="20"/>
          <w:szCs w:val="20"/>
        </w:rPr>
      </w:pPr>
      <w:r w:rsidRPr="00B82BF7">
        <w:rPr>
          <w:rFonts w:ascii="Verdana" w:eastAsia="Verdana" w:hAnsi="Verdana" w:cs="Verdana"/>
          <w:sz w:val="20"/>
          <w:szCs w:val="20"/>
        </w:rPr>
        <w:t>Het aantal meldingen en feiten daalt tussen 2018 en 2020. Hoewel er meer dagen werkonbekwaamheid zijn, gaf dit geen aanleiding tot een verhoging van de kosten.</w:t>
      </w:r>
    </w:p>
    <w:p w14:paraId="0DF8849F" w14:textId="24E2D49B" w:rsidR="00060F25" w:rsidRPr="00B82BF7" w:rsidRDefault="00060F25" w:rsidP="00B82BF7">
      <w:pPr>
        <w:jc w:val="both"/>
        <w:rPr>
          <w:rFonts w:ascii="Verdana" w:hAnsi="Verdana"/>
          <w:sz w:val="20"/>
        </w:rPr>
      </w:pPr>
    </w:p>
    <w:p w14:paraId="194E7B62" w14:textId="2AE1349A" w:rsidR="00060F25" w:rsidRPr="00B82BF7" w:rsidRDefault="46B04BD4" w:rsidP="00B82BF7">
      <w:pPr>
        <w:pStyle w:val="Lijstalinea"/>
        <w:numPr>
          <w:ilvl w:val="0"/>
          <w:numId w:val="9"/>
        </w:numPr>
        <w:jc w:val="both"/>
        <w:rPr>
          <w:rFonts w:ascii="Verdana" w:eastAsia="Verdana" w:hAnsi="Verdana" w:cs="Verdana"/>
          <w:color w:val="000000" w:themeColor="text1"/>
          <w:sz w:val="20"/>
          <w:szCs w:val="20"/>
          <w:lang w:val="nl"/>
        </w:rPr>
      </w:pPr>
      <w:r w:rsidRPr="00B82BF7">
        <w:rPr>
          <w:rFonts w:ascii="Verdana" w:eastAsia="Verdana" w:hAnsi="Verdana" w:cs="Verdana"/>
          <w:sz w:val="20"/>
          <w:szCs w:val="20"/>
        </w:rPr>
        <w:t>Naast de continue inzet van de elementen gedefinieerd in het Veilig op Weg plan, e</w:t>
      </w:r>
      <w:r w:rsidRPr="00B82BF7">
        <w:rPr>
          <w:rFonts w:ascii="Verdana" w:eastAsia="Verdana" w:hAnsi="Verdana" w:cs="Verdana"/>
          <w:sz w:val="20"/>
          <w:szCs w:val="20"/>
          <w:lang w:val="nl"/>
        </w:rPr>
        <w:t>nkele initiatieven die in 2021 zijn gepland:</w:t>
      </w:r>
    </w:p>
    <w:p w14:paraId="16954A1C" w14:textId="362FF2A0" w:rsidR="00060F25" w:rsidRPr="00B82BF7" w:rsidRDefault="46B04BD4" w:rsidP="00B82BF7">
      <w:pPr>
        <w:pStyle w:val="Lijstalinea"/>
        <w:numPr>
          <w:ilvl w:val="1"/>
          <w:numId w:val="9"/>
        </w:numPr>
        <w:jc w:val="both"/>
        <w:rPr>
          <w:rFonts w:ascii="Verdana" w:eastAsia="Verdana" w:hAnsi="Verdana" w:cs="Verdana"/>
          <w:color w:val="000000" w:themeColor="text1"/>
          <w:sz w:val="20"/>
          <w:szCs w:val="20"/>
          <w:lang w:val="nl"/>
        </w:rPr>
      </w:pPr>
      <w:r w:rsidRPr="00B82BF7">
        <w:rPr>
          <w:rFonts w:ascii="Verdana" w:eastAsia="Verdana" w:hAnsi="Verdana" w:cs="Verdana"/>
          <w:sz w:val="20"/>
          <w:szCs w:val="20"/>
          <w:lang w:val="nl"/>
        </w:rPr>
        <w:t>De Lijn zet verder in op een optimalisatie van het incident beheer en analyse, om hieruit te leren voor een gerichte inzet van de middelen. Hiervoor wordt een nieuwe tool ontwikkeld die zal toelaten om korter op de bal te spelen en specifiekere operationele analyses uit te voeren.</w:t>
      </w:r>
    </w:p>
    <w:p w14:paraId="711B74A0" w14:textId="02B65D46" w:rsidR="00060F25" w:rsidRPr="00B82BF7" w:rsidRDefault="46B04BD4" w:rsidP="00B82BF7">
      <w:pPr>
        <w:pStyle w:val="Lijstalinea"/>
        <w:numPr>
          <w:ilvl w:val="1"/>
          <w:numId w:val="9"/>
        </w:numPr>
        <w:jc w:val="both"/>
        <w:rPr>
          <w:rFonts w:ascii="Verdana" w:eastAsia="Verdana" w:hAnsi="Verdana" w:cs="Verdana"/>
          <w:color w:val="000000" w:themeColor="text1"/>
          <w:sz w:val="20"/>
          <w:szCs w:val="20"/>
          <w:lang w:val="nl"/>
        </w:rPr>
      </w:pPr>
      <w:r w:rsidRPr="00B82BF7">
        <w:rPr>
          <w:rFonts w:ascii="Verdana" w:eastAsia="Verdana" w:hAnsi="Verdana" w:cs="Verdana"/>
          <w:sz w:val="20"/>
          <w:szCs w:val="20"/>
          <w:lang w:val="nl"/>
        </w:rPr>
        <w:t xml:space="preserve">De Lijn ontwikkelt ‘toolboxen’ met onder meer tips over hoe agressie te voorkomen of hoe ermee om te gaan om de situatie te laten de-escaleren. Deze toolboxen worden op verschillende manieren gecommuniceerd naar medewerkers op het terrein. </w:t>
      </w:r>
    </w:p>
    <w:p w14:paraId="427C9F70" w14:textId="338240A9" w:rsidR="00060F25" w:rsidRPr="00B82BF7" w:rsidRDefault="46B04BD4" w:rsidP="00B82BF7">
      <w:pPr>
        <w:pStyle w:val="Lijstalinea"/>
        <w:numPr>
          <w:ilvl w:val="1"/>
          <w:numId w:val="9"/>
        </w:numPr>
        <w:jc w:val="both"/>
        <w:rPr>
          <w:rFonts w:ascii="Verdana" w:eastAsia="Verdana" w:hAnsi="Verdana" w:cs="Verdana"/>
          <w:color w:val="000000" w:themeColor="text1"/>
          <w:sz w:val="20"/>
          <w:szCs w:val="20"/>
          <w:lang w:val="nl"/>
        </w:rPr>
      </w:pPr>
      <w:r w:rsidRPr="00B82BF7">
        <w:rPr>
          <w:rFonts w:ascii="Verdana" w:eastAsia="Verdana" w:hAnsi="Verdana" w:cs="Verdana"/>
          <w:sz w:val="20"/>
          <w:szCs w:val="20"/>
          <w:lang w:val="nl"/>
        </w:rPr>
        <w:t>De Lijn evalueert de opleiding ‘omgaan met agressie’ voor medewerkers die agressie hebben meegemaakt en die baat kunnen hebben bij deze opleiding. Deze opleiding kan preventief werken voor deze medewerkers.</w:t>
      </w:r>
    </w:p>
    <w:p w14:paraId="0ADDE736" w14:textId="24477781" w:rsidR="00060F25" w:rsidRPr="00B82BF7" w:rsidRDefault="46B04BD4" w:rsidP="00B82BF7">
      <w:pPr>
        <w:pStyle w:val="Lijstalinea"/>
        <w:numPr>
          <w:ilvl w:val="1"/>
          <w:numId w:val="9"/>
        </w:numPr>
        <w:jc w:val="both"/>
        <w:rPr>
          <w:rFonts w:ascii="Verdana" w:eastAsia="Verdana" w:hAnsi="Verdana" w:cs="Verdana"/>
          <w:color w:val="000000" w:themeColor="text1"/>
          <w:sz w:val="20"/>
          <w:szCs w:val="20"/>
          <w:lang w:val="nl"/>
        </w:rPr>
      </w:pPr>
      <w:r w:rsidRPr="00B82BF7">
        <w:rPr>
          <w:rFonts w:ascii="Verdana" w:eastAsia="Verdana" w:hAnsi="Verdana" w:cs="Verdana"/>
          <w:sz w:val="20"/>
          <w:szCs w:val="20"/>
          <w:lang w:val="nl"/>
        </w:rPr>
        <w:t>De Lijn evalueert de werking van de schoolspotters; een samenwerking met AgODI, om deze schoolspotters gerichter in te zetten in de toekomst.</w:t>
      </w:r>
    </w:p>
    <w:p w14:paraId="1149D981" w14:textId="77777777" w:rsidR="00F92E64" w:rsidRPr="00B82BF7" w:rsidRDefault="46B04BD4" w:rsidP="00B82BF7">
      <w:pPr>
        <w:pStyle w:val="Lijstalinea"/>
        <w:numPr>
          <w:ilvl w:val="1"/>
          <w:numId w:val="9"/>
        </w:numPr>
        <w:jc w:val="both"/>
        <w:rPr>
          <w:rFonts w:ascii="Verdana" w:eastAsia="Verdana" w:hAnsi="Verdana" w:cs="Verdana"/>
          <w:color w:val="000000" w:themeColor="text1"/>
          <w:sz w:val="20"/>
          <w:szCs w:val="20"/>
          <w:lang w:val="nl"/>
        </w:rPr>
      </w:pPr>
      <w:r w:rsidRPr="00B82BF7">
        <w:rPr>
          <w:rFonts w:ascii="Verdana" w:eastAsia="Verdana" w:hAnsi="Verdana" w:cs="Verdana"/>
          <w:sz w:val="20"/>
          <w:szCs w:val="20"/>
          <w:lang w:val="nl"/>
        </w:rPr>
        <w:lastRenderedPageBreak/>
        <w:t>De Lijn zet in haar Veilig op weg-beleid in op alle schakels van de veiligheidsketen, waarbij ook nazorg naar personeelsleden die agressie hebben meegemaakt belangrijk is. Hiertoe wordt extra opleiding gegeven aan de actoren die een rol spelen in dit nazorgproces.</w:t>
      </w:r>
    </w:p>
    <w:p w14:paraId="3805CE4B" w14:textId="77777777" w:rsidR="00F92E64" w:rsidRPr="00B82BF7" w:rsidRDefault="00F92E64" w:rsidP="00B82BF7">
      <w:pPr>
        <w:pStyle w:val="Lijstalinea"/>
        <w:ind w:left="1080"/>
        <w:jc w:val="both"/>
        <w:rPr>
          <w:rFonts w:ascii="Verdana" w:eastAsia="Verdana" w:hAnsi="Verdana" w:cs="Verdana"/>
          <w:sz w:val="20"/>
          <w:szCs w:val="20"/>
          <w:lang w:val="nl"/>
        </w:rPr>
      </w:pPr>
    </w:p>
    <w:p w14:paraId="32DB715C" w14:textId="0DB8784F" w:rsidR="00DC3F0C" w:rsidRPr="00B82BF7" w:rsidRDefault="00DC3F0C" w:rsidP="00B82BF7">
      <w:pPr>
        <w:pStyle w:val="Lijstalinea"/>
        <w:ind w:left="1080"/>
        <w:jc w:val="both"/>
        <w:rPr>
          <w:rFonts w:ascii="Verdana" w:eastAsia="Verdana" w:hAnsi="Verdana" w:cs="Verdana"/>
          <w:color w:val="000000" w:themeColor="text1"/>
          <w:sz w:val="20"/>
          <w:szCs w:val="20"/>
          <w:lang w:val="nl"/>
        </w:rPr>
      </w:pPr>
      <w:r w:rsidRPr="00B82BF7">
        <w:rPr>
          <w:rFonts w:ascii="Verdana" w:eastAsia="Verdana" w:hAnsi="Verdana" w:cs="Verdana"/>
          <w:color w:val="000000" w:themeColor="text1"/>
          <w:sz w:val="20"/>
          <w:szCs w:val="20"/>
          <w:lang w:val="nl"/>
        </w:rPr>
        <w:t>Eveneens verwijs ik naar de vergadering van de Commissie Mobiliteit en Openbare Werken van</w:t>
      </w:r>
      <w:r w:rsidR="00F92E64" w:rsidRPr="00B82BF7">
        <w:rPr>
          <w:rFonts w:ascii="Verdana" w:eastAsia="Verdana" w:hAnsi="Verdana" w:cs="Verdana"/>
          <w:color w:val="000000" w:themeColor="text1"/>
          <w:sz w:val="20"/>
          <w:szCs w:val="20"/>
          <w:lang w:val="nl"/>
        </w:rPr>
        <w:t xml:space="preserve"> 4 maart 2021</w:t>
      </w:r>
      <w:r w:rsidRPr="00B82BF7">
        <w:rPr>
          <w:rFonts w:ascii="Verdana" w:eastAsia="Verdana" w:hAnsi="Verdana" w:cs="Verdana"/>
          <w:color w:val="000000" w:themeColor="text1"/>
          <w:sz w:val="20"/>
          <w:szCs w:val="20"/>
          <w:lang w:val="nl"/>
        </w:rPr>
        <w:t xml:space="preserve"> i</w:t>
      </w:r>
      <w:r w:rsidR="00F92E64" w:rsidRPr="00B82BF7">
        <w:rPr>
          <w:rFonts w:ascii="Verdana" w:eastAsia="Verdana" w:hAnsi="Verdana" w:cs="Verdana"/>
          <w:color w:val="000000" w:themeColor="text1"/>
          <w:sz w:val="20"/>
          <w:szCs w:val="20"/>
          <w:lang w:val="nl"/>
        </w:rPr>
        <w:t>.</w:t>
      </w:r>
      <w:r w:rsidRPr="00B82BF7">
        <w:rPr>
          <w:rFonts w:ascii="Verdana" w:eastAsia="Verdana" w:hAnsi="Verdana" w:cs="Verdana"/>
          <w:color w:val="000000" w:themeColor="text1"/>
          <w:sz w:val="20"/>
          <w:szCs w:val="20"/>
          <w:lang w:val="nl"/>
        </w:rPr>
        <w:t>v</w:t>
      </w:r>
      <w:r w:rsidR="00F92E64" w:rsidRPr="00B82BF7">
        <w:rPr>
          <w:rFonts w:ascii="Verdana" w:eastAsia="Verdana" w:hAnsi="Verdana" w:cs="Verdana"/>
          <w:color w:val="000000" w:themeColor="text1"/>
          <w:sz w:val="20"/>
          <w:szCs w:val="20"/>
          <w:lang w:val="nl"/>
        </w:rPr>
        <w:t>.</w:t>
      </w:r>
      <w:r w:rsidRPr="00B82BF7">
        <w:rPr>
          <w:rFonts w:ascii="Verdana" w:eastAsia="Verdana" w:hAnsi="Verdana" w:cs="Verdana"/>
          <w:color w:val="000000" w:themeColor="text1"/>
          <w:sz w:val="20"/>
          <w:szCs w:val="20"/>
          <w:lang w:val="nl"/>
        </w:rPr>
        <w:t>m</w:t>
      </w:r>
      <w:r w:rsidR="00F92E64" w:rsidRPr="00B82BF7">
        <w:rPr>
          <w:rFonts w:ascii="Verdana" w:eastAsia="Verdana" w:hAnsi="Verdana" w:cs="Verdana"/>
          <w:color w:val="000000" w:themeColor="text1"/>
          <w:sz w:val="20"/>
          <w:szCs w:val="20"/>
          <w:lang w:val="nl"/>
        </w:rPr>
        <w:t>.</w:t>
      </w:r>
      <w:r w:rsidRPr="00B82BF7">
        <w:rPr>
          <w:rFonts w:ascii="Verdana" w:eastAsia="Verdana" w:hAnsi="Verdana" w:cs="Verdana"/>
          <w:color w:val="000000" w:themeColor="text1"/>
          <w:sz w:val="20"/>
          <w:szCs w:val="20"/>
          <w:lang w:val="nl"/>
        </w:rPr>
        <w:t xml:space="preserve"> de behandeling van </w:t>
      </w:r>
      <w:r w:rsidR="00F92E64" w:rsidRPr="00B82BF7">
        <w:rPr>
          <w:rFonts w:ascii="Verdana" w:eastAsia="Verdana" w:hAnsi="Verdana" w:cs="Verdana"/>
          <w:color w:val="000000" w:themeColor="text1"/>
          <w:sz w:val="20"/>
          <w:szCs w:val="20"/>
          <w:lang w:val="nl"/>
        </w:rPr>
        <w:t>de v</w:t>
      </w:r>
      <w:r w:rsidRPr="00B82BF7">
        <w:rPr>
          <w:rFonts w:ascii="Verdana" w:eastAsia="Verdana" w:hAnsi="Verdana" w:cs="Verdana"/>
          <w:color w:val="000000" w:themeColor="text1"/>
          <w:sz w:val="20"/>
          <w:szCs w:val="20"/>
          <w:lang w:val="nl"/>
        </w:rPr>
        <w:t>raag om uitleg van de heer de heer Bert Maertens (nr. 1870)</w:t>
      </w:r>
      <w:r w:rsidR="00F92E64" w:rsidRPr="00B82BF7">
        <w:rPr>
          <w:rFonts w:ascii="Verdana" w:eastAsia="Verdana" w:hAnsi="Verdana" w:cs="Verdana"/>
          <w:color w:val="000000" w:themeColor="text1"/>
          <w:sz w:val="20"/>
          <w:szCs w:val="20"/>
          <w:lang w:val="nl"/>
        </w:rPr>
        <w:t xml:space="preserve"> en van </w:t>
      </w:r>
      <w:r w:rsidRPr="00B82BF7">
        <w:rPr>
          <w:rFonts w:ascii="Verdana" w:eastAsia="Verdana" w:hAnsi="Verdana" w:cs="Verdana"/>
          <w:color w:val="000000" w:themeColor="text1"/>
          <w:sz w:val="20"/>
          <w:szCs w:val="20"/>
          <w:lang w:val="nl"/>
        </w:rPr>
        <w:t>18</w:t>
      </w:r>
      <w:r w:rsidR="00F92E64" w:rsidRPr="00B82BF7">
        <w:rPr>
          <w:rFonts w:ascii="Verdana" w:eastAsia="Verdana" w:hAnsi="Verdana" w:cs="Verdana"/>
          <w:color w:val="000000" w:themeColor="text1"/>
          <w:sz w:val="20"/>
          <w:szCs w:val="20"/>
          <w:lang w:val="nl"/>
        </w:rPr>
        <w:t xml:space="preserve"> maart </w:t>
      </w:r>
      <w:r w:rsidRPr="00B82BF7">
        <w:rPr>
          <w:rFonts w:ascii="Verdana" w:eastAsia="Verdana" w:hAnsi="Verdana" w:cs="Verdana"/>
          <w:color w:val="000000" w:themeColor="text1"/>
          <w:sz w:val="20"/>
          <w:szCs w:val="20"/>
          <w:lang w:val="nl"/>
        </w:rPr>
        <w:t>2021 i</w:t>
      </w:r>
      <w:r w:rsidR="00F92E64" w:rsidRPr="00B82BF7">
        <w:rPr>
          <w:rFonts w:ascii="Verdana" w:eastAsia="Verdana" w:hAnsi="Verdana" w:cs="Verdana"/>
          <w:color w:val="000000" w:themeColor="text1"/>
          <w:sz w:val="20"/>
          <w:szCs w:val="20"/>
          <w:lang w:val="nl"/>
        </w:rPr>
        <w:t>.</w:t>
      </w:r>
      <w:r w:rsidRPr="00B82BF7">
        <w:rPr>
          <w:rFonts w:ascii="Verdana" w:eastAsia="Verdana" w:hAnsi="Verdana" w:cs="Verdana"/>
          <w:color w:val="000000" w:themeColor="text1"/>
          <w:sz w:val="20"/>
          <w:szCs w:val="20"/>
          <w:lang w:val="nl"/>
        </w:rPr>
        <w:t>v</w:t>
      </w:r>
      <w:r w:rsidR="00F92E64" w:rsidRPr="00B82BF7">
        <w:rPr>
          <w:rFonts w:ascii="Verdana" w:eastAsia="Verdana" w:hAnsi="Verdana" w:cs="Verdana"/>
          <w:color w:val="000000" w:themeColor="text1"/>
          <w:sz w:val="20"/>
          <w:szCs w:val="20"/>
          <w:lang w:val="nl"/>
        </w:rPr>
        <w:t>.</w:t>
      </w:r>
      <w:r w:rsidRPr="00B82BF7">
        <w:rPr>
          <w:rFonts w:ascii="Verdana" w:eastAsia="Verdana" w:hAnsi="Verdana" w:cs="Verdana"/>
          <w:color w:val="000000" w:themeColor="text1"/>
          <w:sz w:val="20"/>
          <w:szCs w:val="20"/>
          <w:lang w:val="nl"/>
        </w:rPr>
        <w:t>m</w:t>
      </w:r>
      <w:r w:rsidR="00F92E64" w:rsidRPr="00B82BF7">
        <w:rPr>
          <w:rFonts w:ascii="Verdana" w:eastAsia="Verdana" w:hAnsi="Verdana" w:cs="Verdana"/>
          <w:color w:val="000000" w:themeColor="text1"/>
          <w:sz w:val="20"/>
          <w:szCs w:val="20"/>
          <w:lang w:val="nl"/>
        </w:rPr>
        <w:t>.</w:t>
      </w:r>
      <w:r w:rsidRPr="00B82BF7">
        <w:rPr>
          <w:rFonts w:ascii="Verdana" w:eastAsia="Verdana" w:hAnsi="Verdana" w:cs="Verdana"/>
          <w:color w:val="000000" w:themeColor="text1"/>
          <w:sz w:val="20"/>
          <w:szCs w:val="20"/>
          <w:lang w:val="nl"/>
        </w:rPr>
        <w:t xml:space="preserve"> de behandeling van </w:t>
      </w:r>
      <w:r w:rsidR="00F92E64" w:rsidRPr="00B82BF7">
        <w:rPr>
          <w:rFonts w:ascii="Verdana" w:eastAsia="Verdana" w:hAnsi="Verdana" w:cs="Verdana"/>
          <w:color w:val="000000" w:themeColor="text1"/>
          <w:sz w:val="20"/>
          <w:szCs w:val="20"/>
          <w:lang w:val="nl"/>
        </w:rPr>
        <w:t>de v</w:t>
      </w:r>
      <w:r w:rsidRPr="00B82BF7">
        <w:rPr>
          <w:rFonts w:ascii="Verdana" w:eastAsia="Verdana" w:hAnsi="Verdana" w:cs="Verdana"/>
          <w:color w:val="000000" w:themeColor="text1"/>
          <w:sz w:val="20"/>
          <w:szCs w:val="20"/>
          <w:lang w:val="nl"/>
        </w:rPr>
        <w:t>raag om uitleg van mevrouw Els</w:t>
      </w:r>
      <w:r w:rsidR="00F92E64" w:rsidRPr="00B82BF7">
        <w:rPr>
          <w:rFonts w:ascii="Verdana" w:eastAsia="Verdana" w:hAnsi="Verdana" w:cs="Verdana"/>
          <w:color w:val="000000" w:themeColor="text1"/>
          <w:sz w:val="20"/>
          <w:szCs w:val="20"/>
          <w:lang w:val="nl"/>
        </w:rPr>
        <w:t xml:space="preserve"> </w:t>
      </w:r>
      <w:r w:rsidRPr="00B82BF7">
        <w:rPr>
          <w:rFonts w:ascii="Verdana" w:eastAsia="Verdana" w:hAnsi="Verdana" w:cs="Verdana"/>
          <w:color w:val="000000" w:themeColor="text1"/>
          <w:sz w:val="20"/>
          <w:szCs w:val="20"/>
          <w:lang w:val="nl"/>
        </w:rPr>
        <w:t>Robeyns (nr 2412)</w:t>
      </w:r>
      <w:r w:rsidR="00F92E64" w:rsidRPr="00B82BF7">
        <w:rPr>
          <w:rFonts w:ascii="Verdana" w:eastAsia="Verdana" w:hAnsi="Verdana" w:cs="Verdana"/>
          <w:color w:val="000000" w:themeColor="text1"/>
          <w:sz w:val="20"/>
          <w:szCs w:val="20"/>
          <w:lang w:val="nl"/>
        </w:rPr>
        <w:t xml:space="preserve"> </w:t>
      </w:r>
      <w:r w:rsidRPr="00B82BF7">
        <w:rPr>
          <w:rFonts w:ascii="Verdana" w:eastAsia="Verdana" w:hAnsi="Verdana" w:cs="Verdana"/>
          <w:color w:val="000000" w:themeColor="text1"/>
          <w:sz w:val="20"/>
          <w:szCs w:val="20"/>
          <w:lang w:val="nl"/>
        </w:rPr>
        <w:t>aan minister Lydia Peeters</w:t>
      </w:r>
      <w:r w:rsidR="00F92E64" w:rsidRPr="00B82BF7">
        <w:rPr>
          <w:rFonts w:ascii="Verdana" w:eastAsia="Verdana" w:hAnsi="Verdana" w:cs="Verdana"/>
          <w:color w:val="000000" w:themeColor="text1"/>
          <w:sz w:val="20"/>
          <w:szCs w:val="20"/>
          <w:lang w:val="nl"/>
        </w:rPr>
        <w:t>.</w:t>
      </w:r>
    </w:p>
    <w:sectPr w:rsidR="00DC3F0C" w:rsidRPr="00B82BF7"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665E" w14:textId="77777777" w:rsidR="00581322" w:rsidRDefault="00581322" w:rsidP="00C90FDF">
      <w:r>
        <w:separator/>
      </w:r>
    </w:p>
  </w:endnote>
  <w:endnote w:type="continuationSeparator" w:id="0">
    <w:p w14:paraId="7A8E4336" w14:textId="77777777" w:rsidR="00581322" w:rsidRDefault="00581322" w:rsidP="00C9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E68F" w14:textId="77777777" w:rsidR="00581322" w:rsidRDefault="00581322" w:rsidP="00C90FDF">
      <w:r>
        <w:separator/>
      </w:r>
    </w:p>
  </w:footnote>
  <w:footnote w:type="continuationSeparator" w:id="0">
    <w:p w14:paraId="3C262C4E" w14:textId="77777777" w:rsidR="00581322" w:rsidRDefault="00581322" w:rsidP="00C9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390758F"/>
    <w:multiLevelType w:val="hybridMultilevel"/>
    <w:tmpl w:val="95488780"/>
    <w:lvl w:ilvl="0" w:tplc="B5F88ED4">
      <w:start w:val="1"/>
      <w:numFmt w:val="decimal"/>
      <w:lvlText w:val="%1."/>
      <w:lvlJc w:val="left"/>
      <w:pPr>
        <w:ind w:left="720" w:hanging="360"/>
      </w:pPr>
    </w:lvl>
    <w:lvl w:ilvl="1" w:tplc="EF9AAA96">
      <w:start w:val="1"/>
      <w:numFmt w:val="lowerLetter"/>
      <w:lvlText w:val="%2."/>
      <w:lvlJc w:val="left"/>
      <w:pPr>
        <w:ind w:left="1440" w:hanging="360"/>
      </w:pPr>
    </w:lvl>
    <w:lvl w:ilvl="2" w:tplc="C83E683E">
      <w:start w:val="1"/>
      <w:numFmt w:val="lowerRoman"/>
      <w:lvlText w:val="%3."/>
      <w:lvlJc w:val="right"/>
      <w:pPr>
        <w:ind w:left="2160" w:hanging="180"/>
      </w:pPr>
    </w:lvl>
    <w:lvl w:ilvl="3" w:tplc="7646D8F4">
      <w:start w:val="1"/>
      <w:numFmt w:val="decimal"/>
      <w:lvlText w:val="%4."/>
      <w:lvlJc w:val="left"/>
      <w:pPr>
        <w:ind w:left="2880" w:hanging="360"/>
      </w:pPr>
    </w:lvl>
    <w:lvl w:ilvl="4" w:tplc="9FD2D1A6">
      <w:start w:val="1"/>
      <w:numFmt w:val="lowerLetter"/>
      <w:lvlText w:val="%5."/>
      <w:lvlJc w:val="left"/>
      <w:pPr>
        <w:ind w:left="3600" w:hanging="360"/>
      </w:pPr>
    </w:lvl>
    <w:lvl w:ilvl="5" w:tplc="61C2D272">
      <w:start w:val="1"/>
      <w:numFmt w:val="lowerRoman"/>
      <w:lvlText w:val="%6."/>
      <w:lvlJc w:val="right"/>
      <w:pPr>
        <w:ind w:left="4320" w:hanging="180"/>
      </w:pPr>
    </w:lvl>
    <w:lvl w:ilvl="6" w:tplc="EEBEAE44">
      <w:start w:val="1"/>
      <w:numFmt w:val="decimal"/>
      <w:lvlText w:val="%7."/>
      <w:lvlJc w:val="left"/>
      <w:pPr>
        <w:ind w:left="5040" w:hanging="360"/>
      </w:pPr>
    </w:lvl>
    <w:lvl w:ilvl="7" w:tplc="DAF69952">
      <w:start w:val="1"/>
      <w:numFmt w:val="lowerLetter"/>
      <w:lvlText w:val="%8."/>
      <w:lvlJc w:val="left"/>
      <w:pPr>
        <w:ind w:left="5760" w:hanging="360"/>
      </w:pPr>
    </w:lvl>
    <w:lvl w:ilvl="8" w:tplc="718C67DE">
      <w:start w:val="1"/>
      <w:numFmt w:val="lowerRoman"/>
      <w:lvlText w:val="%9."/>
      <w:lvlJc w:val="right"/>
      <w:pPr>
        <w:ind w:left="6480" w:hanging="180"/>
      </w:pPr>
    </w:lvl>
  </w:abstractNum>
  <w:abstractNum w:abstractNumId="6" w15:restartNumberingAfterBreak="0">
    <w:nsid w:val="2D956C9C"/>
    <w:multiLevelType w:val="hybridMultilevel"/>
    <w:tmpl w:val="7B5CEF34"/>
    <w:lvl w:ilvl="0" w:tplc="446A0B68">
      <w:start w:val="1"/>
      <w:numFmt w:val="decimal"/>
      <w:lvlText w:val="%1."/>
      <w:lvlJc w:val="left"/>
      <w:pPr>
        <w:ind w:left="360" w:hanging="360"/>
      </w:pPr>
      <w:rPr>
        <w:rFonts w:ascii="Verdana" w:hAnsi="Verdana" w:hint="default"/>
        <w:sz w:val="20"/>
        <w:szCs w:val="2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078356E"/>
    <w:multiLevelType w:val="hybridMultilevel"/>
    <w:tmpl w:val="106A279C"/>
    <w:lvl w:ilvl="0" w:tplc="51768036">
      <w:start w:val="5"/>
      <w:numFmt w:val="bullet"/>
      <w:lvlText w:val="-"/>
      <w:lvlJc w:val="left"/>
      <w:pPr>
        <w:ind w:left="1080" w:hanging="360"/>
      </w:pPr>
      <w:rPr>
        <w:rFonts w:ascii="Verdana" w:eastAsia="Verdana" w:hAnsi="Verdana" w:cs="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BEA1A7E"/>
    <w:multiLevelType w:val="hybridMultilevel"/>
    <w:tmpl w:val="19E488D6"/>
    <w:lvl w:ilvl="0" w:tplc="1C36B482">
      <w:start w:val="1"/>
      <w:numFmt w:val="bullet"/>
      <w:lvlText w:val="·"/>
      <w:lvlJc w:val="left"/>
      <w:pPr>
        <w:ind w:left="720" w:hanging="360"/>
      </w:pPr>
      <w:rPr>
        <w:rFonts w:ascii="Symbol" w:hAnsi="Symbol" w:hint="default"/>
      </w:rPr>
    </w:lvl>
    <w:lvl w:ilvl="1" w:tplc="6C58DEB8">
      <w:start w:val="1"/>
      <w:numFmt w:val="bullet"/>
      <w:lvlText w:val="o"/>
      <w:lvlJc w:val="left"/>
      <w:pPr>
        <w:ind w:left="1440" w:hanging="360"/>
      </w:pPr>
      <w:rPr>
        <w:rFonts w:ascii="Courier New" w:hAnsi="Courier New" w:hint="default"/>
      </w:rPr>
    </w:lvl>
    <w:lvl w:ilvl="2" w:tplc="BAB65B74">
      <w:start w:val="1"/>
      <w:numFmt w:val="bullet"/>
      <w:lvlText w:val=""/>
      <w:lvlJc w:val="left"/>
      <w:pPr>
        <w:ind w:left="2160" w:hanging="360"/>
      </w:pPr>
      <w:rPr>
        <w:rFonts w:ascii="Wingdings" w:hAnsi="Wingdings" w:hint="default"/>
      </w:rPr>
    </w:lvl>
    <w:lvl w:ilvl="3" w:tplc="E47C15B4">
      <w:start w:val="1"/>
      <w:numFmt w:val="bullet"/>
      <w:lvlText w:val=""/>
      <w:lvlJc w:val="left"/>
      <w:pPr>
        <w:ind w:left="2880" w:hanging="360"/>
      </w:pPr>
      <w:rPr>
        <w:rFonts w:ascii="Symbol" w:hAnsi="Symbol" w:hint="default"/>
      </w:rPr>
    </w:lvl>
    <w:lvl w:ilvl="4" w:tplc="1CB801F2">
      <w:start w:val="1"/>
      <w:numFmt w:val="bullet"/>
      <w:lvlText w:val="o"/>
      <w:lvlJc w:val="left"/>
      <w:pPr>
        <w:ind w:left="3600" w:hanging="360"/>
      </w:pPr>
      <w:rPr>
        <w:rFonts w:ascii="Courier New" w:hAnsi="Courier New" w:hint="default"/>
      </w:rPr>
    </w:lvl>
    <w:lvl w:ilvl="5" w:tplc="FFFCEA20">
      <w:start w:val="1"/>
      <w:numFmt w:val="bullet"/>
      <w:lvlText w:val=""/>
      <w:lvlJc w:val="left"/>
      <w:pPr>
        <w:ind w:left="4320" w:hanging="360"/>
      </w:pPr>
      <w:rPr>
        <w:rFonts w:ascii="Wingdings" w:hAnsi="Wingdings" w:hint="default"/>
      </w:rPr>
    </w:lvl>
    <w:lvl w:ilvl="6" w:tplc="63A8A16C">
      <w:start w:val="1"/>
      <w:numFmt w:val="bullet"/>
      <w:lvlText w:val=""/>
      <w:lvlJc w:val="left"/>
      <w:pPr>
        <w:ind w:left="5040" w:hanging="360"/>
      </w:pPr>
      <w:rPr>
        <w:rFonts w:ascii="Symbol" w:hAnsi="Symbol" w:hint="default"/>
      </w:rPr>
    </w:lvl>
    <w:lvl w:ilvl="7" w:tplc="5666FA1E">
      <w:start w:val="1"/>
      <w:numFmt w:val="bullet"/>
      <w:lvlText w:val="o"/>
      <w:lvlJc w:val="left"/>
      <w:pPr>
        <w:ind w:left="5760" w:hanging="360"/>
      </w:pPr>
      <w:rPr>
        <w:rFonts w:ascii="Courier New" w:hAnsi="Courier New" w:hint="default"/>
      </w:rPr>
    </w:lvl>
    <w:lvl w:ilvl="8" w:tplc="D22EC32E">
      <w:start w:val="1"/>
      <w:numFmt w:val="bullet"/>
      <w:lvlText w:val=""/>
      <w:lvlJc w:val="left"/>
      <w:pPr>
        <w:ind w:left="6480" w:hanging="360"/>
      </w:pPr>
      <w:rPr>
        <w:rFonts w:ascii="Wingdings" w:hAnsi="Wingdings" w:hint="default"/>
      </w:rPr>
    </w:lvl>
  </w:abstractNum>
  <w:abstractNum w:abstractNumId="10"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45B61"/>
    <w:rsid w:val="00060F25"/>
    <w:rsid w:val="000A12DE"/>
    <w:rsid w:val="000C28B3"/>
    <w:rsid w:val="00175CDB"/>
    <w:rsid w:val="001C6F2D"/>
    <w:rsid w:val="00266954"/>
    <w:rsid w:val="002A12D9"/>
    <w:rsid w:val="002A3774"/>
    <w:rsid w:val="002B1E2C"/>
    <w:rsid w:val="002D54F9"/>
    <w:rsid w:val="002D63DA"/>
    <w:rsid w:val="003114EC"/>
    <w:rsid w:val="003237F9"/>
    <w:rsid w:val="00466ADA"/>
    <w:rsid w:val="004A3999"/>
    <w:rsid w:val="004E6C14"/>
    <w:rsid w:val="00581322"/>
    <w:rsid w:val="00583FD7"/>
    <w:rsid w:val="00595311"/>
    <w:rsid w:val="005F4DB2"/>
    <w:rsid w:val="006143F1"/>
    <w:rsid w:val="0064483F"/>
    <w:rsid w:val="00683233"/>
    <w:rsid w:val="006A3D0A"/>
    <w:rsid w:val="007371D7"/>
    <w:rsid w:val="007C36E6"/>
    <w:rsid w:val="007D10DD"/>
    <w:rsid w:val="007E5143"/>
    <w:rsid w:val="00892C1B"/>
    <w:rsid w:val="0089707D"/>
    <w:rsid w:val="00897B9E"/>
    <w:rsid w:val="008C5640"/>
    <w:rsid w:val="0094138F"/>
    <w:rsid w:val="009513D5"/>
    <w:rsid w:val="00960304"/>
    <w:rsid w:val="009816AE"/>
    <w:rsid w:val="009A0D2B"/>
    <w:rsid w:val="009A79DE"/>
    <w:rsid w:val="00A122FE"/>
    <w:rsid w:val="00A368AB"/>
    <w:rsid w:val="00B07F83"/>
    <w:rsid w:val="00B305C7"/>
    <w:rsid w:val="00B42767"/>
    <w:rsid w:val="00B653B3"/>
    <w:rsid w:val="00B82BF7"/>
    <w:rsid w:val="00B96AC1"/>
    <w:rsid w:val="00BA0F58"/>
    <w:rsid w:val="00C34476"/>
    <w:rsid w:val="00C51F39"/>
    <w:rsid w:val="00C5459C"/>
    <w:rsid w:val="00C90FDF"/>
    <w:rsid w:val="00CE1B4C"/>
    <w:rsid w:val="00CE7894"/>
    <w:rsid w:val="00D2026A"/>
    <w:rsid w:val="00D5319A"/>
    <w:rsid w:val="00D8383A"/>
    <w:rsid w:val="00D928A1"/>
    <w:rsid w:val="00DC3F0C"/>
    <w:rsid w:val="00DD46AC"/>
    <w:rsid w:val="00E06115"/>
    <w:rsid w:val="00E82EC8"/>
    <w:rsid w:val="00ED3C1F"/>
    <w:rsid w:val="00F166F2"/>
    <w:rsid w:val="00F41AC9"/>
    <w:rsid w:val="00F92E64"/>
    <w:rsid w:val="00FD7018"/>
    <w:rsid w:val="00FF71E6"/>
    <w:rsid w:val="1CAA94D2"/>
    <w:rsid w:val="46B04BD4"/>
    <w:rsid w:val="47F8157E"/>
    <w:rsid w:val="4D7297F0"/>
    <w:rsid w:val="6F6D7D46"/>
    <w:rsid w:val="70C545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B4A9"/>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3EE5E4A94C039260A5F8FA768963"/>
        <w:category>
          <w:name w:val="Algemeen"/>
          <w:gallery w:val="placeholder"/>
        </w:category>
        <w:types>
          <w:type w:val="bbPlcHdr"/>
        </w:types>
        <w:behaviors>
          <w:behavior w:val="content"/>
        </w:behaviors>
        <w:guid w:val="{93338DF1-A6B5-4A8B-9D25-6042FE0D72E0}"/>
      </w:docPartPr>
      <w:docPartBody>
        <w:p w:rsidR="00754AD7" w:rsidRDefault="00175CDB" w:rsidP="00175CDB">
          <w:pPr>
            <w:pStyle w:val="5FC23EE5E4A94C039260A5F8FA768963"/>
          </w:pPr>
          <w:r w:rsidRPr="00DF5F63">
            <w:rPr>
              <w:rStyle w:val="Tekstvantijdelijkeaanduiding"/>
            </w:rPr>
            <w:t>Klik of tik om tekst in te voeren.</w:t>
          </w:r>
        </w:p>
      </w:docPartBody>
    </w:docPart>
    <w:docPart>
      <w:docPartPr>
        <w:name w:val="FBEF1B138E704E46BF315254AFC2CF14"/>
        <w:category>
          <w:name w:val="Algemeen"/>
          <w:gallery w:val="placeholder"/>
        </w:category>
        <w:types>
          <w:type w:val="bbPlcHdr"/>
        </w:types>
        <w:behaviors>
          <w:behavior w:val="content"/>
        </w:behaviors>
        <w:guid w:val="{F5574856-ACC9-446E-BFCD-625AF34C7C8E}"/>
      </w:docPartPr>
      <w:docPartBody>
        <w:p w:rsidR="00754AD7" w:rsidRDefault="00175CDB" w:rsidP="00175CDB">
          <w:pPr>
            <w:pStyle w:val="FBEF1B138E704E46BF315254AFC2CF14"/>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0D3EBA"/>
    <w:rsid w:val="00175CDB"/>
    <w:rsid w:val="005A638F"/>
    <w:rsid w:val="00754AD7"/>
    <w:rsid w:val="00A30053"/>
    <w:rsid w:val="00B452FB"/>
    <w:rsid w:val="00BE3DEC"/>
    <w:rsid w:val="00E04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5CDB"/>
    <w:rPr>
      <w:color w:val="808080"/>
    </w:rPr>
  </w:style>
  <w:style w:type="paragraph" w:customStyle="1" w:styleId="5FC23EE5E4A94C039260A5F8FA768963">
    <w:name w:val="5FC23EE5E4A94C039260A5F8FA768963"/>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BEF1B138E704E46BF315254AFC2CF14">
    <w:name w:val="FBEF1B138E704E46BF315254AFC2CF14"/>
    <w:rsid w:val="00175CDB"/>
    <w:pPr>
      <w:spacing w:after="0" w:line="240" w:lineRule="auto"/>
    </w:pPr>
    <w:rPr>
      <w:rFonts w:ascii="Times New Roman" w:eastAsia="Times New Roman" w:hAnsi="Times New Roman" w:cs="Times New Roman"/>
      <w:sz w:val="24"/>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jabloon SV" ma:contentTypeID="0x0101005B7A0FC130FBD14FB5AE6534A195291500CEC51D2819FA9B4D89B6DC3452ED6152" ma:contentTypeVersion="7" ma:contentTypeDescription="" ma:contentTypeScope="" ma:versionID="698aab6ea8a26c9185dbd90917cea4d5">
  <xsd:schema xmlns:xsd="http://www.w3.org/2001/XMLSchema" xmlns:xs="http://www.w3.org/2001/XMLSchema" xmlns:p="http://schemas.microsoft.com/office/2006/metadata/properties" xmlns:ns2="http://schemas.microsoft.com/sharepoint/v3/fields" xmlns:ns3="9b51e29f-d062-461f-9360-e22c498a7cb2" xmlns:ns4="d84a67f7-7f92-4c02-8d2f-3a7d2af7cd67" xmlns:ns5="5a41a150-ff0e-4309-b71c-bebabb820ec6" targetNamespace="http://schemas.microsoft.com/office/2006/metadata/properties" ma:root="true" ma:fieldsID="66f8871ce565b8c8cc428d38a1630132" ns2:_="" ns3:_="" ns4:_="" ns5:_="">
    <xsd:import namespace="http://schemas.microsoft.com/sharepoint/v3/fields"/>
    <xsd:import namespace="9b51e29f-d062-461f-9360-e22c498a7cb2"/>
    <xsd:import namespace="d84a67f7-7f92-4c02-8d2f-3a7d2af7cd67"/>
    <xsd:import namespace="5a41a150-ff0e-4309-b71c-bebabb820ec6"/>
    <xsd:element name="properties">
      <xsd:complexType>
        <xsd:sequence>
          <xsd:element name="documentManagement">
            <xsd:complexType>
              <xsd:all>
                <xsd:element ref="ns2:_EndDate" minOccurs="0"/>
                <xsd:element ref="ns3:PV_x0020_Toegewezen_x0020_aan" minOccurs="0"/>
                <xsd:element ref="ns4:Status_x0020_document" minOccurs="0"/>
                <xsd:element ref="ns4:Type_x0020_document"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8" nillable="true" ma:displayName="Einddatum" ma:format="DateTime" ma:internalName="Eind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9"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0"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1"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5a41a150-ff0e-4309-b71c-bebabb820ec6" elementFormDefault="qualified">
    <xsd:import namespace="http://schemas.microsoft.com/office/2006/documentManagement/types"/>
    <xsd:import namespace="http://schemas.microsoft.com/office/infopath/2007/PartnerControls"/>
    <xsd:element name="_Flow_SignoffStatus" ma:index="1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gecoordineerd antwoord</Type_x0020_document>
    <PV_x0020_Toegewezen_x0020_aan xmlns="9b51e29f-d062-461f-9360-e22c498a7cb2">2</PV_x0020_Toegewezen_x0020_aan>
    <_EndDate xmlns="http://schemas.microsoft.com/sharepoint/v3/fields">2021-04-09T00:00:00+00:00</_EndDate>
    <Status_x0020_document xmlns="d84a67f7-7f92-4c02-8d2f-3a7d2af7cd67">draft</Status_x0020_document>
    <_Flow_SignoffStatus xmlns="5a41a150-ff0e-4309-b71c-bebabb820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83A33-1FFB-4DE8-AB17-432EE661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b51e29f-d062-461f-9360-e22c498a7cb2"/>
    <ds:schemaRef ds:uri="d84a67f7-7f92-4c02-8d2f-3a7d2af7cd67"/>
    <ds:schemaRef ds:uri="5a41a150-ff0e-4309-b71c-bebabb820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 ds:uri="5a41a150-ff0e-4309-b71c-bebabb820ec6"/>
  </ds:schemaRefs>
</ds:datastoreItem>
</file>

<file path=customXml/itemProps3.xml><?xml version="1.0" encoding="utf-8"?>
<ds:datastoreItem xmlns:ds="http://schemas.openxmlformats.org/officeDocument/2006/customXml" ds:itemID="{54CDB365-6212-4418-99E7-6A9C2B4B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3562</Characters>
  <Application>Microsoft Office Word</Application>
  <DocSecurity>0</DocSecurity>
  <Lines>29</Lines>
  <Paragraphs>8</Paragraphs>
  <ScaleCrop>false</ScaleCrop>
  <Company>Vlaams Parlement</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creator>Olivier Cammu</dc:creator>
  <cp:lastModifiedBy>Nathalie De Keyzer</cp:lastModifiedBy>
  <cp:revision>4</cp:revision>
  <cp:lastPrinted>2014-09-23T09:20:00Z</cp:lastPrinted>
  <dcterms:created xsi:type="dcterms:W3CDTF">2021-04-19T13:59:00Z</dcterms:created>
  <dcterms:modified xsi:type="dcterms:W3CDTF">2021-04-20T06:59:00Z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0x0101005B7A0FC130FBD14FB5AE6534A195291500CEC51D2819FA9B4D89B6DC3452ED6152</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ies>
</file>